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br/>
        <w:br/>
        <w:br/>
        <w:br/>
        <w:t xml:space="preserve"/>
      </w:r>
    </w:p>
    <w:p>
      <w:pPr>
        <w:spacing w:after="400"/>
        <w:jc w:val="center"/>
      </w:pPr>
      <w:r>
        <w:rPr>
          <w:rFonts w:ascii="Times New Roman" w:cs="Times New Roman" w:eastAsia="Times New Roman" w:hAnsi="Times New Roman"/>
          <w:b/>
          <w:bCs/>
          <w:color w:val="1F3864"/>
          <w:sz w:val="40"/>
          <w:szCs w:val="40"/>
        </w:rPr>
        <w:t xml:space="preserve">THE THREAT OF COMMUNISM TO THE UNITED STATES</w:t>
      </w:r>
    </w:p>
    <w:p>
      <w:pPr>
        <w:spacing w:after="200"/>
        <w:jc w:val="center"/>
      </w:pPr>
      <w:r>
        <w:rPr>
          <w:rFonts w:ascii="Times New Roman" w:cs="Times New Roman" w:eastAsia="Times New Roman" w:hAnsi="Times New Roman"/>
          <w:b/>
          <w:bCs/>
          <w:color w:val="8B0000"/>
          <w:sz w:val="32"/>
          <w:szCs w:val="32"/>
        </w:rPr>
        <w:t xml:space="preserve">Why Communism Would Fail in The United States</w:t>
      </w:r>
    </w:p>
    <w:p>
      <w:pPr>
        <w:spacing w:after="800"/>
        <w:jc w:val="center"/>
      </w:pPr>
      <w:r>
        <w:rPr>
          <w:rFonts w:ascii="Times New Roman" w:cs="Times New Roman" w:eastAsia="Times New Roman" w:hAnsi="Times New Roman"/>
          <w:i/>
          <w:iCs/>
          <w:sz w:val="24"/>
          <w:szCs w:val="24"/>
        </w:rPr>
        <w:t xml:space="preserve">Part Six of a Series on the Communist Threat to the United States</w:t>
      </w:r>
    </w:p>
    <w:p>
      <w:pPr>
        <w:spacing w:after="200"/>
        <w:jc w:val="center"/>
      </w:pPr>
      <w:r>
        <w:rPr>
          <w:rFonts w:ascii="Times New Roman" w:cs="Times New Roman" w:eastAsia="Times New Roman" w:hAnsi="Times New Roman"/>
          <w:sz w:val="24"/>
          <w:szCs w:val="24"/>
        </w:rPr>
        <w:t xml:space="preserve">2026</w:t>
      </w:r>
    </w:p>
    <w:p>
      <w:r>
        <w:br w:type="page"/>
      </w:r>
    </w:p>
    <w:p>
      <w:pPr>
        <w:pStyle w:val="Heading1"/>
        <w:pageBreakBefore/>
        <w:spacing w:after="200" w:before="480"/>
      </w:pPr>
      <w:r>
        <w:rPr>
          <w:rFonts w:ascii="Times New Roman" w:cs="Times New Roman" w:eastAsia="Times New Roman" w:hAnsi="Times New Roman"/>
          <w:b/>
          <w:bCs/>
          <w:color w:val="1F3864"/>
          <w:sz w:val="32"/>
          <w:szCs w:val="32"/>
        </w:rPr>
        <w:t xml:space="preserve">Introduction</w:t>
      </w:r>
    </w:p>
    <w:p>
      <w:pPr>
        <w:spacing w:after="160" w:before="0" w:line="360"/>
        <w:ind w:left="0" w:firstLine="720"/>
        <w:jc w:val="both"/>
      </w:pPr>
      <w:r>
        <w:rPr>
          <w:rFonts w:ascii="Times New Roman" w:cs="Times New Roman" w:eastAsia="Times New Roman" w:hAnsi="Times New Roman"/>
          <w:sz w:val="24"/>
          <w:szCs w:val="24"/>
        </w:rPr>
        <w:t xml:space="preserve">The preceding papers in this series have documented the history of Communism, the legal weapons the United States has forged to defend against it, the ideological distinctions between Socialism and Communism, and the taxonomy of world governments. This paper confronts a more visceral question: what would actually happen if Communism took hold in the United States? The short answer is that it would not — it cannot. The structural, constitutional, cultural, and economic barriers to Communist takeover in America are unlike those in any country where Communism has succeeded. This paper examines each of those barriers in turn, offers citizens practical tools to defend against ideological infiltration, analyzes the partisan landscape and foreign influence operations, dismantles the popular fallacy that Communism eliminates oligarchs, and closes with a light-hearted but sobering look at what a Communist America might feel like in the lived, everyday sense.</w:t>
      </w:r>
    </w:p>
    <w:p>
      <w:pPr>
        <w:pStyle w:val="Heading1"/>
        <w:pageBreakBefore/>
        <w:spacing w:after="200" w:before="480"/>
      </w:pPr>
      <w:r>
        <w:rPr>
          <w:rFonts w:ascii="Times New Roman" w:cs="Times New Roman" w:eastAsia="Times New Roman" w:hAnsi="Times New Roman"/>
          <w:b/>
          <w:bCs/>
          <w:color w:val="1F3864"/>
          <w:sz w:val="32"/>
          <w:szCs w:val="32"/>
        </w:rPr>
        <w:t xml:space="preserve">I. The United States as a World Power</w:t>
      </w:r>
    </w:p>
    <w:p>
      <w:pPr>
        <w:pStyle w:val="Heading2"/>
        <w:spacing w:after="160" w:before="360"/>
      </w:pPr>
      <w:r>
        <w:rPr>
          <w:rFonts w:ascii="Times New Roman" w:cs="Times New Roman" w:eastAsia="Times New Roman" w:hAnsi="Times New Roman"/>
          <w:b/>
          <w:bCs/>
          <w:color w:val="8B0000"/>
          <w:sz w:val="28"/>
          <w:szCs w:val="28"/>
        </w:rPr>
        <w:t xml:space="preserve">The Cornerstone of Capitalism</w:t>
      </w:r>
    </w:p>
    <w:p>
      <w:pPr>
        <w:spacing w:after="160" w:before="0" w:line="360"/>
        <w:ind w:left="0" w:firstLine="720"/>
        <w:jc w:val="both"/>
      </w:pPr>
      <w:r>
        <w:rPr>
          <w:rFonts w:ascii="Times New Roman" w:cs="Times New Roman" w:eastAsia="Times New Roman" w:hAnsi="Times New Roman"/>
          <w:sz w:val="24"/>
          <w:szCs w:val="24"/>
        </w:rPr>
        <w:t xml:space="preserve">The United States is, by nearly every measure, the most economically powerful nation in the history of human civilization. As of 2024, the United States GDP stands at approximately $27.4 trillion, representing roughly 26% of the entire global economy (World Bank, 2024). No other single nation comes close. China, the second-largest economy, produces approximately $17.8 trillion — a significant figure, but one built, ironically, on market-economy reforms that partially abandoned the Communist economic model (International Monetary Fund [IMF], 2024).</w:t>
      </w:r>
    </w:p>
    <w:p>
      <w:pPr>
        <w:spacing w:after="160" w:before="0" w:line="360"/>
        <w:ind w:left="0" w:firstLine="720"/>
        <w:jc w:val="both"/>
      </w:pPr>
      <w:r>
        <w:rPr>
          <w:rFonts w:ascii="Times New Roman" w:cs="Times New Roman" w:eastAsia="Times New Roman" w:hAnsi="Times New Roman"/>
          <w:sz w:val="24"/>
          <w:szCs w:val="24"/>
        </w:rPr>
        <w:t xml:space="preserve">That extraordinary economic output is not accidental. It is the product of a capitalist system built on four foundational pillars: private property rights, free markets, rule of law, and limited government. The US dollar serves as the world's primary reserve currency, accounting for approximately 59% of global foreign exchange reserves as of 2024 (IMF, 2024). This "exorbitant privilege," as French Finance Minister Valéry Giscard d'Estaing once called it, gives the United States structural advantages in borrowing, trade, and geopolitical leverage that no Communist nation has ever replicated.</w:t>
      </w:r>
    </w:p>
    <w:p>
      <w:pPr>
        <w:pStyle w:val="Heading2"/>
        <w:spacing w:after="160" w:before="360"/>
      </w:pPr>
      <w:r>
        <w:rPr>
          <w:rFonts w:ascii="Times New Roman" w:cs="Times New Roman" w:eastAsia="Times New Roman" w:hAnsi="Times New Roman"/>
          <w:b/>
          <w:bCs/>
          <w:color w:val="8B0000"/>
          <w:sz w:val="28"/>
          <w:szCs w:val="28"/>
        </w:rPr>
        <w:t xml:space="preserve">The Innovation Economy</w:t>
      </w:r>
    </w:p>
    <w:p>
      <w:pPr>
        <w:spacing w:after="160" w:before="0" w:line="360"/>
        <w:ind w:left="0" w:firstLine="720"/>
        <w:jc w:val="both"/>
      </w:pPr>
      <w:r>
        <w:rPr>
          <w:rFonts w:ascii="Times New Roman" w:cs="Times New Roman" w:eastAsia="Times New Roman" w:hAnsi="Times New Roman"/>
          <w:sz w:val="24"/>
          <w:szCs w:val="24"/>
        </w:rPr>
        <w:t xml:space="preserve">American capitalism has produced a disproportionate share of global technological innovation. Of the world's top twenty technology companies by market capitalization in 2024, fifteen are American. The United States holds more Nobel Prize laureates than any other country, with over 400 since 1901 (Nobel Prize Organization, 2024). Its research universities — MIT, Stanford, Harvard, Caltech — consistently rank among the world's best and attract the brightest minds from every corner of the globe.</w:t>
      </w:r>
    </w:p>
    <w:p>
      <w:pPr>
        <w:spacing w:after="160" w:before="0" w:line="360"/>
        <w:ind w:left="0" w:firstLine="720"/>
        <w:jc w:val="both"/>
      </w:pPr>
      <w:r>
        <w:rPr>
          <w:rFonts w:ascii="Times New Roman" w:cs="Times New Roman" w:eastAsia="Times New Roman" w:hAnsi="Times New Roman"/>
          <w:sz w:val="24"/>
          <w:szCs w:val="24"/>
        </w:rPr>
        <w:t xml:space="preserve">This innovation is inseparable from the incentive structure that capitalism provides. Patent protection, venture capital markets, the ability to retain profits from one's own inventions — these are the engines of creative risk-taking. Communism, by design, eliminates the profit motive and with it the incentive to take the kinds of entrepreneurial risks that produce breakthroughs. The Soviet Union had brilliant scientists, and yet it could not produce a consumer electronics industry, a software sector, or a pharmaceutical pipeline remotely comparable to that of the capitalist West (Maddison, 2001).</w:t>
      </w:r>
    </w:p>
    <w:p>
      <w:pPr>
        <w:pStyle w:val="Heading2"/>
        <w:spacing w:after="160" w:before="360"/>
      </w:pPr>
      <w:r>
        <w:rPr>
          <w:rFonts w:ascii="Times New Roman" w:cs="Times New Roman" w:eastAsia="Times New Roman" w:hAnsi="Times New Roman"/>
          <w:b/>
          <w:bCs/>
          <w:color w:val="8B0000"/>
          <w:sz w:val="28"/>
          <w:szCs w:val="28"/>
        </w:rPr>
        <w:t xml:space="preserve">The Strength of American Property Culture</w:t>
      </w:r>
    </w:p>
    <w:p>
      <w:pPr>
        <w:spacing w:after="160" w:before="0" w:line="360"/>
        <w:ind w:left="0" w:firstLine="720"/>
        <w:jc w:val="both"/>
      </w:pPr>
      <w:r>
        <w:rPr>
          <w:rFonts w:ascii="Times New Roman" w:cs="Times New Roman" w:eastAsia="Times New Roman" w:hAnsi="Times New Roman"/>
          <w:sz w:val="24"/>
          <w:szCs w:val="24"/>
        </w:rPr>
        <w:t xml:space="preserve">Perhaps the most underappreciated dimension of American economic strength is the depth and breadth of private asset ownership. The United States holds an estimated $156 trillion in private assets as of 2024 (Federal Reserve, 2024). Approximately 65.6% of American households own their homes — the highest homeownership rate among G7 nations (U.S. Census Bureau, 2024). Nearly 58% of American adults directly or indirectly own equities through 401(k) plans, IRAs, and brokerage accounts (Gallup, 2024). Americans are not passive subjects in their economy. They are owners. That ownership psychology is, as will be seen in the next section, one of the most durable barriers to Communist takeover.</w:t>
      </w:r>
    </w:p>
    <w:p>
      <w:pPr>
        <w:pStyle w:val="Heading1"/>
        <w:pageBreakBefore/>
        <w:spacing w:after="200" w:before="480"/>
      </w:pPr>
      <w:r>
        <w:rPr>
          <w:rFonts w:ascii="Times New Roman" w:cs="Times New Roman" w:eastAsia="Times New Roman" w:hAnsi="Times New Roman"/>
          <w:b/>
          <w:bCs/>
          <w:color w:val="1F3864"/>
          <w:sz w:val="32"/>
          <w:szCs w:val="32"/>
        </w:rPr>
        <w:t xml:space="preserve">II. Why Communism Would Fail in the United States</w:t>
      </w:r>
    </w:p>
    <w:p>
      <w:pPr>
        <w:pStyle w:val="Heading2"/>
        <w:spacing w:after="160" w:before="360"/>
      </w:pPr>
      <w:r>
        <w:rPr>
          <w:rFonts w:ascii="Times New Roman" w:cs="Times New Roman" w:eastAsia="Times New Roman" w:hAnsi="Times New Roman"/>
          <w:b/>
          <w:bCs/>
          <w:color w:val="8B0000"/>
          <w:sz w:val="28"/>
          <w:szCs w:val="28"/>
        </w:rPr>
        <w:t xml:space="preserve">The Property Transition Problem</w:t>
      </w:r>
    </w:p>
    <w:p>
      <w:pPr>
        <w:spacing w:after="160" w:before="0" w:line="360"/>
        <w:ind w:left="0" w:firstLine="720"/>
        <w:jc w:val="both"/>
      </w:pPr>
      <w:r>
        <w:rPr>
          <w:rFonts w:ascii="Times New Roman" w:cs="Times New Roman" w:eastAsia="Times New Roman" w:hAnsi="Times New Roman"/>
          <w:sz w:val="24"/>
          <w:szCs w:val="24"/>
        </w:rPr>
        <w:t xml:space="preserve">The central mechanism of Communist revolution is the expropriation of private property. Marx and Engels were explicit: "The theory of the Communists may be summed up in a single sentence: abolition of private property" (Marx &amp; Engels, 1848/2004, p. 14). In the Soviet Union, China, and Cuba, this expropriation was accomplished through military force, political terror, and mass incarceration of resisters. In each case, the populations were largely rural, heavily armed resistance was limited, and judicial institutions were either absent or already captured by revolutionary forces.</w:t>
      </w:r>
    </w:p>
    <w:p>
      <w:pPr>
        <w:spacing w:after="160" w:before="0" w:line="360"/>
        <w:ind w:left="0" w:firstLine="720"/>
        <w:jc w:val="both"/>
      </w:pPr>
      <w:r>
        <w:rPr>
          <w:rFonts w:ascii="Times New Roman" w:cs="Times New Roman" w:eastAsia="Times New Roman" w:hAnsi="Times New Roman"/>
          <w:sz w:val="24"/>
          <w:szCs w:val="24"/>
        </w:rPr>
        <w:t xml:space="preserve">None of those conditions exist in the United States. Any Communist government attempting to expropriate American private property would face a constitutional barrier of the first order: the Fifth Amendment of the United States Constitution, which provides that "private property [shall not] be taken for public use, without just compensation." The Fourteenth Amendment extends this protection against state governments. The takings clause has been interpreted and reinforced through over 200 years of jurisprudence, most notably in Penn Central Transportation Co. v. New York City (1978) and Loretto v. Teleprompter Manhattan CATV Corp. (1982).</w:t>
      </w:r>
    </w:p>
    <w:p>
      <w:pPr>
        <w:pStyle w:val="Heading2"/>
        <w:spacing w:after="160" w:before="360"/>
      </w:pPr>
      <w:r>
        <w:rPr>
          <w:rFonts w:ascii="Times New Roman" w:cs="Times New Roman" w:eastAsia="Times New Roman" w:hAnsi="Times New Roman"/>
          <w:b/>
          <w:bCs/>
          <w:color w:val="8B0000"/>
          <w:sz w:val="28"/>
          <w:szCs w:val="28"/>
        </w:rPr>
        <w:t xml:space="preserve">The Armed Citizenry Problem</w:t>
      </w:r>
    </w:p>
    <w:p>
      <w:pPr>
        <w:spacing w:after="160" w:before="0" w:line="360"/>
        <w:ind w:left="0" w:firstLine="720"/>
        <w:jc w:val="both"/>
      </w:pPr>
      <w:r>
        <w:rPr>
          <w:rFonts w:ascii="Times New Roman" w:cs="Times New Roman" w:eastAsia="Times New Roman" w:hAnsi="Times New Roman"/>
          <w:sz w:val="24"/>
          <w:szCs w:val="24"/>
        </w:rPr>
        <w:t xml:space="preserve">Beyond constitutional protections, any forced collectivization in the United States would face a material obstacle unprecedented in the history of Communist revolutions: approximately 400 million privately-owned firearms in civilian hands (Small Arms Survey, 2024). The United States has more guns than people. The Soviet collectivization of 1929–1933, which killed between 5 and 7 million people in Ukraine alone — the Holodomor — was carried out against a disarmed peasant population that had no means of organized military resistance (Applebaum, 2017).</w:t>
      </w:r>
    </w:p>
    <w:p>
      <w:pPr>
        <w:spacing w:after="160" w:before="0" w:line="360"/>
        <w:ind w:left="0" w:firstLine="720"/>
        <w:jc w:val="both"/>
      </w:pPr>
      <w:r>
        <w:rPr>
          <w:rFonts w:ascii="Times New Roman" w:cs="Times New Roman" w:eastAsia="Times New Roman" w:hAnsi="Times New Roman"/>
          <w:sz w:val="24"/>
          <w:szCs w:val="24"/>
        </w:rPr>
        <w:t xml:space="preserve">An American collectivization attempt would encounter 400 million firearms, a Second Amendment legal framework affirmed in District of Columbia v. Heller (2008) and McDonald v. City of Chicago (2010), and a culture in which gun ownership is not merely practical but deeply symbolic of the individualist tradition. The logistics of attempting Soviet-style expropriation against this population defy imagination. The Red Army had numerical and technological superiority over Ukrainian farmers; no comparable asymmetry exists in the contemporary United States.</w:t>
      </w:r>
    </w:p>
    <w:p>
      <w:pPr>
        <w:pStyle w:val="Heading2"/>
        <w:spacing w:after="160" w:before="360"/>
      </w:pPr>
      <w:r>
        <w:rPr>
          <w:rFonts w:ascii="Times New Roman" w:cs="Times New Roman" w:eastAsia="Times New Roman" w:hAnsi="Times New Roman"/>
          <w:b/>
          <w:bCs/>
          <w:color w:val="8B0000"/>
          <w:sz w:val="28"/>
          <w:szCs w:val="28"/>
        </w:rPr>
        <w:t xml:space="preserve">The Economic Destruction Problem</w:t>
      </w:r>
    </w:p>
    <w:p>
      <w:pPr>
        <w:spacing w:after="160" w:before="0" w:line="360"/>
        <w:ind w:left="0" w:firstLine="720"/>
        <w:jc w:val="both"/>
      </w:pPr>
      <w:r>
        <w:rPr>
          <w:rFonts w:ascii="Times New Roman" w:cs="Times New Roman" w:eastAsia="Times New Roman" w:hAnsi="Times New Roman"/>
          <w:sz w:val="24"/>
          <w:szCs w:val="24"/>
        </w:rPr>
        <w:t xml:space="preserve">Even setting aside armed resistance, Communist collectivization produces economic catastrophe through the destruction of the price signal. As Friedrich Hayek demonstrated in The Use of Knowledge in Society (1945), prices coordinate the dispersed, local knowledge of millions of individuals in ways that no central planner can replicate. When prices are abolished or fixed by the state, the information system that allocates resources collapses. The result, consistently observed across every Communist economy, is shortage, misallocation, and famine.</w:t>
      </w:r>
    </w:p>
    <w:p>
      <w:pPr>
        <w:spacing w:after="160" w:before="0" w:line="360"/>
        <w:ind w:left="0" w:firstLine="720"/>
        <w:jc w:val="both"/>
      </w:pPr>
      <w:r>
        <w:rPr>
          <w:rFonts w:ascii="Times New Roman" w:cs="Times New Roman" w:eastAsia="Times New Roman" w:hAnsi="Times New Roman"/>
          <w:sz w:val="24"/>
          <w:szCs w:val="24"/>
        </w:rPr>
        <w:t xml:space="preserve">The United States runs the world's most sophisticated market economy. Its supply chains, financial markets, agricultural sector, and manufacturing base are calibrated by price signals operating simultaneously across trillions of transactions. The Soviet Union, which had a far simpler economic base, never solved the calculation problem Hayek identified. An American central planner attempting to coordinate a $27 trillion economy through administrative fiat would face a computational challenge that is not merely difficult but literally impossible (von Mises, 1920/2012).</w:t>
      </w:r>
    </w:p>
    <w:p>
      <w:pPr>
        <w:pStyle w:val="Heading2"/>
        <w:spacing w:after="160" w:before="360"/>
      </w:pPr>
      <w:r>
        <w:rPr>
          <w:rFonts w:ascii="Times New Roman" w:cs="Times New Roman" w:eastAsia="Times New Roman" w:hAnsi="Times New Roman"/>
          <w:b/>
          <w:bCs/>
          <w:color w:val="8B0000"/>
          <w:sz w:val="28"/>
          <w:szCs w:val="28"/>
        </w:rPr>
        <w:t xml:space="preserve">The Federalism Problem</w:t>
      </w:r>
    </w:p>
    <w:p>
      <w:pPr>
        <w:spacing w:after="160" w:before="0" w:line="360"/>
        <w:ind w:left="0" w:firstLine="720"/>
        <w:jc w:val="both"/>
      </w:pPr>
      <w:r>
        <w:rPr>
          <w:rFonts w:ascii="Times New Roman" w:cs="Times New Roman" w:eastAsia="Times New Roman" w:hAnsi="Times New Roman"/>
          <w:sz w:val="24"/>
          <w:szCs w:val="24"/>
        </w:rPr>
        <w:t xml:space="preserve">The United States is not a unitary state. It is a federal republic of fifty independent governments, each with its own constitution, courts, law enforcement apparatus, and National Guard units. A Communist takeover of the federal government would not automatically extend to the states. The Tenth Amendment reserves to the states, or to the people, all powers not delegated to the federal government. This structural diffusion of power means that even a successful capture of Washington would leave the vast majority of the country's territory, resources, and armed forces in the hands of governments that could — and almost certainly would — resist.</w:t>
      </w:r>
    </w:p>
    <w:p>
      <w:pPr>
        <w:pStyle w:val="Heading1"/>
        <w:pageBreakBefore/>
        <w:spacing w:after="200" w:before="480"/>
      </w:pPr>
      <w:r>
        <w:rPr>
          <w:rFonts w:ascii="Times New Roman" w:cs="Times New Roman" w:eastAsia="Times New Roman" w:hAnsi="Times New Roman"/>
          <w:b/>
          <w:bCs/>
          <w:color w:val="1F3864"/>
          <w:sz w:val="32"/>
          <w:szCs w:val="32"/>
        </w:rPr>
        <w:t xml:space="preserve">III. What Can Be Done to Prevent This</w:t>
      </w:r>
    </w:p>
    <w:p>
      <w:pPr>
        <w:spacing w:after="160" w:before="0" w:line="360"/>
        <w:ind w:left="0" w:firstLine="720"/>
        <w:jc w:val="both"/>
      </w:pPr>
      <w:r>
        <w:rPr>
          <w:rFonts w:ascii="Times New Roman" w:cs="Times New Roman" w:eastAsia="Times New Roman" w:hAnsi="Times New Roman"/>
          <w:sz w:val="24"/>
          <w:szCs w:val="24"/>
        </w:rPr>
        <w:t xml:space="preserve">Understanding why Communist takeover would structurally fail does not mean citizens can afford complacency. Ideological infiltration, institutional erosion, and foreign influence operations represent genuine long-term threats even where outright revolution is impossible. The following categories of citizen action represent practical, accessible steps for protecting American institutions.</w:t>
      </w:r>
    </w:p>
    <w:p>
      <w:pPr>
        <w:pStyle w:val="Heading2"/>
        <w:spacing w:after="160" w:before="360"/>
      </w:pPr>
      <w:r>
        <w:rPr>
          <w:rFonts w:ascii="Times New Roman" w:cs="Times New Roman" w:eastAsia="Times New Roman" w:hAnsi="Times New Roman"/>
          <w:b/>
          <w:bCs/>
          <w:color w:val="8B0000"/>
          <w:sz w:val="28"/>
          <w:szCs w:val="28"/>
        </w:rPr>
        <w:t xml:space="preserve">Electoral Engagement</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Vote in every election — federal, state, local. City councils, school boards, and county commissioners make decisions about curriculum, law enforcement, and property rights that compound over decades.</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Research candidates' positions on property rights, constitutional interpretation, and foreign policy. Incumbents' voting records are publicly available at Congress.gov and state legislature websites.</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Support nonpartisan election integrity organizations and participate in electoral observation programs. The integrity of the ballot is the first line of constitutional defense.</w:t>
      </w:r>
    </w:p>
    <w:p>
      <w:pPr>
        <w:pStyle w:val="Heading2"/>
        <w:spacing w:after="160" w:before="360"/>
      </w:pPr>
      <w:r>
        <w:rPr>
          <w:rFonts w:ascii="Times New Roman" w:cs="Times New Roman" w:eastAsia="Times New Roman" w:hAnsi="Times New Roman"/>
          <w:b/>
          <w:bCs/>
          <w:color w:val="8B0000"/>
          <w:sz w:val="28"/>
          <w:szCs w:val="28"/>
        </w:rPr>
        <w:t xml:space="preserve">Civic and Educational Engagement</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Read and understand the U.S. Constitution, especially the Bill of Rights — Amendments I through X. These documents are short. Every adult citizen should own and have read them.</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Engage with your children's school curriculum. School boards set standards; parents who attend meetings and review materials are the most effective check on ideological drift in public education.</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Develop media literacy: identify state-sponsored or foreign-influenced media sources. The State Department publishes regular assessments of Russian and Chinese information operations (Global Engagement Center, 2023).</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Support institutions that defend civil liberties and constitutional rights, including the Institute for Justice, the Foundation for Individual Rights and Expression (FIRE), and the Federalist Society.</w:t>
      </w:r>
    </w:p>
    <w:p>
      <w:pPr>
        <w:pStyle w:val="Heading2"/>
        <w:spacing w:after="160" w:before="360"/>
      </w:pPr>
      <w:r>
        <w:rPr>
          <w:rFonts w:ascii="Times New Roman" w:cs="Times New Roman" w:eastAsia="Times New Roman" w:hAnsi="Times New Roman"/>
          <w:b/>
          <w:bCs/>
          <w:color w:val="8B0000"/>
          <w:sz w:val="28"/>
          <w:szCs w:val="28"/>
        </w:rPr>
        <w:t xml:space="preserve">Economic and Financial Self-Protection</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Own property. A nation of property owners has a material stake in property rights. Homeownership, business ownership, and equity investing create constituents who will defend the system that protects their assets.</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Diversify assets across different asset classes and geographies. Financial self-sufficiency reduces dependence on government programs that can become leverage points for political control.</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Support businesses and supply chains that operate within American legal and economic frameworks. Economic dependence on authoritarian supply chains creates strategic vulnerabilities at the national level.</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Understand the basics of monetary policy and Federal Reserve independence. Central bank capture is historically one of the first tools of authoritarian economic control.</w:t>
      </w:r>
    </w:p>
    <w:p>
      <w:pPr>
        <w:pStyle w:val="Heading2"/>
        <w:spacing w:after="160" w:before="360"/>
      </w:pPr>
      <w:r>
        <w:rPr>
          <w:rFonts w:ascii="Times New Roman" w:cs="Times New Roman" w:eastAsia="Times New Roman" w:hAnsi="Times New Roman"/>
          <w:b/>
          <w:bCs/>
          <w:color w:val="8B0000"/>
          <w:sz w:val="28"/>
          <w:szCs w:val="28"/>
        </w:rPr>
        <w:t xml:space="preserve">Community and Social Resilience</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Know your neighbors. Strong local social networks are the foundation of community resilience. Authoritarian systems thrive on atomization; communities that know and trust each other are far harder to manipulate.</w:t>
      </w:r>
    </w:p>
    <w:p>
      <w:pPr>
        <w:pStyle w:val="ListParagraph"/>
        <w:numPr>
          <w:ilvl w:val="0"/>
          <w:numId w:val="1"/>
        </w:numPr>
        <w:spacing w:after="120" w:line="360"/>
        <w:ind w:left="720" w:hanging="360"/>
      </w:pPr>
      <w:r>
        <w:rPr>
          <w:rFonts w:ascii="Times New Roman" w:cs="Times New Roman" w:eastAsia="Times New Roman" w:hAnsi="Times New Roman"/>
          <w:sz w:val="24"/>
          <w:szCs w:val="24"/>
        </w:rPr>
        <w:t xml:space="preserve">Participate in civic organizations — town halls, neighborhood associations, veterans' groups, religious institutions. Civil society is the social fabric that democratic government depends on.</w:t>
      </w:r>
    </w:p>
    <w:p>
      <w:pPr>
        <w:pStyle w:val="Heading1"/>
        <w:pageBreakBefore/>
        <w:spacing w:after="200" w:before="480"/>
      </w:pPr>
      <w:r>
        <w:rPr>
          <w:rFonts w:ascii="Times New Roman" w:cs="Times New Roman" w:eastAsia="Times New Roman" w:hAnsi="Times New Roman"/>
          <w:b/>
          <w:bCs/>
          <w:color w:val="1F3864"/>
          <w:sz w:val="32"/>
          <w:szCs w:val="32"/>
        </w:rPr>
        <w:t xml:space="preserve">IV. The War in Political Parties</w:t>
      </w:r>
    </w:p>
    <w:p>
      <w:pPr>
        <w:pStyle w:val="Heading2"/>
        <w:spacing w:after="160" w:before="360"/>
      </w:pPr>
      <w:r>
        <w:rPr>
          <w:rFonts w:ascii="Times New Roman" w:cs="Times New Roman" w:eastAsia="Times New Roman" w:hAnsi="Times New Roman"/>
          <w:b/>
          <w:bCs/>
          <w:color w:val="8B0000"/>
          <w:sz w:val="28"/>
          <w:szCs w:val="28"/>
        </w:rPr>
        <w:t xml:space="preserve">Ideology and Party Alignment</w:t>
      </w:r>
    </w:p>
    <w:p>
      <w:pPr>
        <w:spacing w:after="160" w:before="0" w:line="360"/>
        <w:ind w:left="0" w:firstLine="720"/>
        <w:jc w:val="both"/>
      </w:pPr>
      <w:r>
        <w:rPr>
          <w:rFonts w:ascii="Times New Roman" w:cs="Times New Roman" w:eastAsia="Times New Roman" w:hAnsi="Times New Roman"/>
          <w:sz w:val="24"/>
          <w:szCs w:val="24"/>
        </w:rPr>
        <w:t xml:space="preserve">Neither the Democratic Party nor the Republican Party is a Communist party. It is important to state this clearly, because conflation of mainstream Democratic policies with Marxism-Leninism is both analytically imprecise and politically counterproductive. The United States has two mainstream parties occupying the center-left and center-right of a fundamentally capitalist political spectrum. Vigorous disagreements about tax rates, healthcare policy, and the social safety net are not evidence of Communist infiltration — they are evidence of a functioning democracy (Heywood, 2017).</w:t>
      </w:r>
    </w:p>
    <w:p>
      <w:pPr>
        <w:spacing w:after="160" w:before="0" w:line="360"/>
        <w:ind w:left="0" w:firstLine="720"/>
        <w:jc w:val="both"/>
      </w:pPr>
      <w:r>
        <w:rPr>
          <w:rFonts w:ascii="Times New Roman" w:cs="Times New Roman" w:eastAsia="Times New Roman" w:hAnsi="Times New Roman"/>
          <w:sz w:val="24"/>
          <w:szCs w:val="24"/>
        </w:rPr>
        <w:t xml:space="preserve">That said, there exist within the Democratic coalition factions that explicitly identify with Democratic Socialism — a distinct political tradition covered in depth in Paper Three of this series. The Democratic Socialists of America (DSA), with approximately 92,000 members as of 2023, has elected members to Congress and state legislatures, and openly advocates for nationalization of certain industries and expansion of the social safety net (DSA, 2023). The DSA is not the Democratic Party, but it operates within its electoral coalition. Their platform is considerably to the left of the party mainstream and draws explicitly on socialist theory.</w:t>
      </w:r>
    </w:p>
    <w:p>
      <w:pPr>
        <w:spacing w:after="160" w:before="0" w:line="360"/>
        <w:ind w:left="0" w:firstLine="720"/>
        <w:jc w:val="both"/>
      </w:pPr>
      <w:r>
        <w:rPr>
          <w:rFonts w:ascii="Times New Roman" w:cs="Times New Roman" w:eastAsia="Times New Roman" w:hAnsi="Times New Roman"/>
          <w:sz w:val="24"/>
          <w:szCs w:val="24"/>
        </w:rPr>
        <w:t xml:space="preserve">The Republican Party's platform has historically centered on free markets, limited government, and strong private property protections — principles structurally incompatible with Communist ideology. However, populist nationalism, trade protectionism, and skepticism of multilateral institutions represent their own brand of departures from classical liberalism, though in a direction that does not tend toward collectivism.</w:t>
      </w:r>
    </w:p>
    <w:p>
      <w:pPr>
        <w:pStyle w:val="Heading2"/>
        <w:spacing w:after="160" w:before="360"/>
      </w:pPr>
      <w:r>
        <w:rPr>
          <w:rFonts w:ascii="Times New Roman" w:cs="Times New Roman" w:eastAsia="Times New Roman" w:hAnsi="Times New Roman"/>
          <w:b/>
          <w:bCs/>
          <w:color w:val="8B0000"/>
          <w:sz w:val="28"/>
          <w:szCs w:val="28"/>
        </w:rPr>
        <w:t xml:space="preserve">The Wealthy and Political Alignment</w:t>
      </w:r>
    </w:p>
    <w:p>
      <w:pPr>
        <w:spacing w:after="160" w:before="0" w:line="360"/>
        <w:ind w:left="0" w:firstLine="720"/>
        <w:jc w:val="both"/>
      </w:pPr>
      <w:r>
        <w:rPr>
          <w:rFonts w:ascii="Times New Roman" w:cs="Times New Roman" w:eastAsia="Times New Roman" w:hAnsi="Times New Roman"/>
          <w:sz w:val="24"/>
          <w:szCs w:val="24"/>
        </w:rPr>
        <w:t xml:space="preserve">A common assumption is that the ultra-wealthy uniformly oppose collectivist policies. The reality is considerably more complicated. Research on political donation patterns reveals that high-net-worth donors split substantially between the two parties, often driven by specific policy interests — tax treatment of capital gains and carried interest, regulatory frameworks in their industries, and immigration policy as it affects labor supply (Gilens &amp; Page, 2014).</w:t>
      </w:r>
    </w:p>
    <w:p>
      <w:pPr>
        <w:spacing w:after="160" w:before="0" w:line="360"/>
        <w:ind w:left="0" w:firstLine="720"/>
        <w:jc w:val="both"/>
      </w:pPr>
      <w:r>
        <w:rPr>
          <w:rFonts w:ascii="Times New Roman" w:cs="Times New Roman" w:eastAsia="Times New Roman" w:hAnsi="Times New Roman"/>
          <w:sz w:val="24"/>
          <w:szCs w:val="24"/>
        </w:rPr>
        <w:t xml:space="preserve">What the evidence does support is that large-scale redistribution and property expropriation generate near-universal opposition from property-owning Americans across income levels. The political coalition capable of defending private property in the United States is not a coalition of billionaires — it is a coalition of homeowners, business owners, farmers, and equity investors that spans the American middle class. In the 2024 Gallup survey, 64% of Americans described themselves as generally opposed to increased government ownership of business and industry (Gallup, 2024).</w:t>
      </w:r>
    </w:p>
    <w:p>
      <w:pPr>
        <w:pStyle w:val="Heading2"/>
        <w:spacing w:after="160" w:before="360"/>
      </w:pPr>
      <w:r>
        <w:rPr>
          <w:rFonts w:ascii="Times New Roman" w:cs="Times New Roman" w:eastAsia="Times New Roman" w:hAnsi="Times New Roman"/>
          <w:b/>
          <w:bCs/>
          <w:color w:val="8B0000"/>
          <w:sz w:val="28"/>
          <w:szCs w:val="28"/>
        </w:rPr>
        <w:t xml:space="preserve">Foreign Influence Operations</w:t>
      </w:r>
    </w:p>
    <w:p>
      <w:pPr>
        <w:spacing w:after="160" w:before="0" w:line="360"/>
        <w:ind w:left="0" w:firstLine="720"/>
        <w:jc w:val="both"/>
      </w:pPr>
      <w:r>
        <w:rPr>
          <w:rFonts w:ascii="Times New Roman" w:cs="Times New Roman" w:eastAsia="Times New Roman" w:hAnsi="Times New Roman"/>
          <w:sz w:val="24"/>
          <w:szCs w:val="24"/>
        </w:rPr>
        <w:t xml:space="preserve">Perhaps the most serious and documented threat to American democratic institutions is not domestic radicalism but foreign interference — specifically, influence operations conducted by the Chinese Communist Party (CCP) and the Russian Federation designed to amplify social division, erode institutional trust, and exploit American political fault lines.</w:t>
      </w:r>
    </w:p>
    <w:p>
      <w:pPr>
        <w:spacing w:after="160" w:before="0" w:line="360"/>
        <w:ind w:left="0" w:firstLine="720"/>
        <w:jc w:val="both"/>
      </w:pPr>
      <w:r>
        <w:rPr>
          <w:rFonts w:ascii="Times New Roman" w:cs="Times New Roman" w:eastAsia="Times New Roman" w:hAnsi="Times New Roman"/>
          <w:sz w:val="24"/>
          <w:szCs w:val="24"/>
        </w:rPr>
        <w:t xml:space="preserve">The Senate Select Committee on Intelligence's five-volume report on Russian interference in the 2016 election documented the Internet Research Agency's systematic deployment of social media content designed to inflame racial, political, and social divisions on both left and right (Senate Select Committee on Intelligence, 2020). The goal was not to elect a particular candidate but to deepen polarization and undermine confidence in democratic institutions — a far more durable form of damage.</w:t>
      </w:r>
    </w:p>
    <w:p>
      <w:pPr>
        <w:spacing w:after="160" w:before="0" w:line="360"/>
        <w:ind w:left="0" w:firstLine="720"/>
        <w:jc w:val="both"/>
      </w:pPr>
      <w:r>
        <w:rPr>
          <w:rFonts w:ascii="Times New Roman" w:cs="Times New Roman" w:eastAsia="Times New Roman" w:hAnsi="Times New Roman"/>
          <w:sz w:val="24"/>
          <w:szCs w:val="24"/>
        </w:rPr>
        <w:t xml:space="preserve">CCP influence operations operate through different channels. The Thousand Talents Program, documented by the FBI and DOJ, recruited American researchers and academics to transfer technology and intellectual property to China while maintaining their institutional positions (Federal Bureau of Investigation, 2020). Confucius Institutes — Chinese government-funded cultural centers operating on American university campuses — were found by the Senate Permanent Subcommittee on Investigations (2019) to present conflicts of interest and risks of undue influence over academic and research programs.</w:t>
      </w:r>
    </w:p>
    <w:p>
      <w:pPr>
        <w:spacing w:after="160" w:before="0" w:line="360"/>
        <w:ind w:left="0" w:firstLine="720"/>
        <w:jc w:val="both"/>
      </w:pPr>
      <w:r>
        <w:rPr>
          <w:rFonts w:ascii="Times New Roman" w:cs="Times New Roman" w:eastAsia="Times New Roman" w:hAnsi="Times New Roman"/>
          <w:sz w:val="24"/>
          <w:szCs w:val="24"/>
        </w:rPr>
        <w:t xml:space="preserve">The Foreign Agent Registration Act (FARA, 22 U.S.C. § 611 et seq.) provides the primary legal framework for identifying and disclosing foreign influence in American political life. However, enforcement has historically been episodic, and the scope of digital influence operations has vastly outpaced the disclosure framework Congress envisioned when FARA was enacted in 1938.</w:t>
      </w:r>
    </w:p>
    <w:p>
      <w:pPr>
        <w:pStyle w:val="Heading1"/>
        <w:pageBreakBefore/>
        <w:spacing w:after="200" w:before="480"/>
      </w:pPr>
      <w:r>
        <w:rPr>
          <w:rFonts w:ascii="Times New Roman" w:cs="Times New Roman" w:eastAsia="Times New Roman" w:hAnsi="Times New Roman"/>
          <w:b/>
          <w:bCs/>
          <w:color w:val="1F3864"/>
          <w:sz w:val="32"/>
          <w:szCs w:val="32"/>
        </w:rPr>
        <w:t xml:space="preserve">V. The Fallacy of Oligarchism</w:t>
      </w:r>
    </w:p>
    <w:p>
      <w:pPr>
        <w:pStyle w:val="Heading2"/>
        <w:spacing w:after="160" w:before="360"/>
      </w:pPr>
      <w:r>
        <w:rPr>
          <w:rFonts w:ascii="Times New Roman" w:cs="Times New Roman" w:eastAsia="Times New Roman" w:hAnsi="Times New Roman"/>
          <w:b/>
          <w:bCs/>
          <w:color w:val="8B0000"/>
          <w:sz w:val="28"/>
          <w:szCs w:val="28"/>
        </w:rPr>
        <w:t xml:space="preserve">The Rallying Cry</w:t>
      </w:r>
    </w:p>
    <w:p>
      <w:pPr>
        <w:spacing w:after="160" w:before="0" w:line="360"/>
        <w:ind w:left="0" w:firstLine="720"/>
        <w:jc w:val="both"/>
      </w:pPr>
      <w:r>
        <w:rPr>
          <w:rFonts w:ascii="Times New Roman" w:cs="Times New Roman" w:eastAsia="Times New Roman" w:hAnsi="Times New Roman"/>
          <w:sz w:val="24"/>
          <w:szCs w:val="24"/>
        </w:rPr>
        <w:t xml:space="preserve">One of the most common rhetorical arguments deployed by the progressive left in American political discourse is the anti-oligarch critique: that American capitalism has concentrated too much wealth in too few hands, producing an oligarchic class that undermines democracy. Senator Bernie Sanders has made this argument the centerpiece of his political career, famously declaring that the United States faces a choice between democracy and oligarchy (Sanders, 2023). The argument has genuine empirical grounding: the top 1% of Americans hold approximately 30% of national wealth, and the gap between median wages and CEO compensation has widened substantially since the 1980s (Piketty, 2014).</w:t>
      </w:r>
    </w:p>
    <w:p>
      <w:pPr>
        <w:spacing w:after="160" w:before="0" w:line="360"/>
        <w:ind w:left="0" w:firstLine="720"/>
        <w:jc w:val="both"/>
      </w:pPr>
      <w:r>
        <w:rPr>
          <w:rFonts w:ascii="Times New Roman" w:cs="Times New Roman" w:eastAsia="Times New Roman" w:hAnsi="Times New Roman"/>
          <w:sz w:val="24"/>
          <w:szCs w:val="24"/>
        </w:rPr>
        <w:t xml:space="preserve">The problem with the anti-oligarch critique, however, is not its diagnosis — it is its implicit prescription. The argument assumes, without evidence, that shifting economic control from private actors to the state reduces oligarchic concentration of power. The historical record provides precisely the opposite lesson.</w:t>
      </w:r>
    </w:p>
    <w:p>
      <w:pPr>
        <w:shd w:fill="FFF3CD" w:color="auto" w:val="clear"/>
        <w:spacing w:after="200" w:before="200" w:line="360"/>
        <w:ind w:left="720" w:right="720"/>
        <w:jc w:val="both"/>
      </w:pPr>
      <w:r>
        <w:rPr>
          <w:rFonts w:ascii="Times New Roman" w:cs="Times New Roman" w:eastAsia="Times New Roman" w:hAnsi="Times New Roman"/>
          <w:i/>
          <w:iCs/>
          <w:sz w:val="24"/>
          <w:szCs w:val="24"/>
        </w:rPr>
        <w:t xml:space="preserve">"No Oligarchs!" is a compelling slogan. But consider: Senator Sanders, champion of the anti-oligarch cause, owns three houses. He declared a net worth of approximately $2.5 million in 2019. When a reporter asked him in 2019 whether it was problematic that he was a millionaire, he replied, "I don't think it's appropriate for me to be talking about my personal finances." The program is excellent. The personal audit, apparently, is optional. (Bump, 2019)</w:t>
      </w:r>
    </w:p>
    <w:p>
      <w:pPr>
        <w:pStyle w:val="Heading2"/>
        <w:spacing w:after="160" w:before="360"/>
      </w:pPr>
      <w:r>
        <w:rPr>
          <w:rFonts w:ascii="Times New Roman" w:cs="Times New Roman" w:eastAsia="Times New Roman" w:hAnsi="Times New Roman"/>
          <w:b/>
          <w:bCs/>
          <w:color w:val="8B0000"/>
          <w:sz w:val="28"/>
          <w:szCs w:val="28"/>
        </w:rPr>
        <w:t xml:space="preserve">What Communism Actually Produces</w:t>
      </w:r>
    </w:p>
    <w:p>
      <w:pPr>
        <w:spacing w:after="160" w:before="0" w:line="360"/>
        <w:ind w:left="0" w:firstLine="720"/>
        <w:jc w:val="both"/>
      </w:pPr>
      <w:r>
        <w:rPr>
          <w:rFonts w:ascii="Times New Roman" w:cs="Times New Roman" w:eastAsia="Times New Roman" w:hAnsi="Times New Roman"/>
          <w:sz w:val="24"/>
          <w:szCs w:val="24"/>
        </w:rPr>
        <w:t xml:space="preserve">Every Communist state in history has produced not the elimination of oligarchs but their transformation into a new, unaccountable ruling class. In the Soviet Union, the Nomenklatura — the privileged party apparatus — enjoyed access to special stores stocked with Western goods, vacation dachas, foreign travel, private healthcare, and automobiles that ordinary Soviet citizens could not obtain in a lifetime of queuing (Voslensky, 1984). They owned nothing in their own names, as Communist ideology forbade it — but they controlled everything.</w:t>
      </w:r>
    </w:p>
    <w:p>
      <w:pPr>
        <w:spacing w:after="160" w:before="0" w:line="360"/>
        <w:ind w:left="0" w:firstLine="720"/>
        <w:jc w:val="both"/>
      </w:pPr>
      <w:r>
        <w:rPr>
          <w:rFonts w:ascii="Times New Roman" w:cs="Times New Roman" w:eastAsia="Times New Roman" w:hAnsi="Times New Roman"/>
          <w:sz w:val="24"/>
          <w:szCs w:val="24"/>
        </w:rPr>
        <w:t xml:space="preserve">Russia's post-Soviet oligarchy did not emerge despite Communism — it emerged directly from it. The same party apparatchiks who controlled state industry under the Soviet system were perfectly positioned to acquire those assets through privatization when the USSR collapsed. Vladimir Putin himself, the most powerful person in the Russian political system, is estimated by intelligence analysts and investigative journalists to have a personal fortune between $200 billion and $700 billion in proxied assets — channeled through oligarchic networks he controls (Belton, 2020). Russia is a democracy in the same sense that North Korea is a republic: the word appears in the official documents, and that is roughly where the resemblance ends.</w:t>
      </w:r>
    </w:p>
    <w:p>
      <w:pPr>
        <w:spacing w:after="160" w:before="0" w:line="360"/>
        <w:ind w:left="0" w:firstLine="720"/>
        <w:jc w:val="both"/>
      </w:pPr>
      <w:r>
        <w:rPr>
          <w:rFonts w:ascii="Times New Roman" w:cs="Times New Roman" w:eastAsia="Times New Roman" w:hAnsi="Times New Roman"/>
          <w:sz w:val="24"/>
          <w:szCs w:val="24"/>
        </w:rPr>
        <w:t xml:space="preserve">China presents an identical pattern. The Chinese Communist Party constitutionally forbids private property accumulation by Party members in their own names. Xi Jinping's officially declared net worth is approximately zero. And yet investigative reporting by Bloomberg and The New York Times revealed that family members of top CCP leaders collectively controlled hundreds of billions of dollars in assets through corporate networks and offshore accounts (Bloomberg News, 2012; Barboza, 2012). The difference between American billionaires and Communist party elites is not the size of the fortune — it is that American billionaires must disclose their assets and pay taxes on them, while Communist elites face neither obligation.</w:t>
      </w:r>
    </w:p>
    <w:p>
      <w:pPr>
        <w:pStyle w:val="Heading2"/>
        <w:spacing w:after="160" w:before="360"/>
      </w:pPr>
      <w:r>
        <w:rPr>
          <w:rFonts w:ascii="Times New Roman" w:cs="Times New Roman" w:eastAsia="Times New Roman" w:hAnsi="Times New Roman"/>
          <w:b/>
          <w:bCs/>
          <w:color w:val="8B0000"/>
          <w:sz w:val="28"/>
          <w:szCs w:val="28"/>
        </w:rPr>
        <w:t xml:space="preserve">The Arithmetic of Communist Oligarchy</w:t>
      </w:r>
    </w:p>
    <w:p>
      <w:pPr>
        <w:spacing w:after="160" w:before="0" w:line="360"/>
        <w:ind w:left="0" w:firstLine="720"/>
        <w:jc w:val="both"/>
      </w:pPr>
      <w:r>
        <w:rPr>
          <w:rFonts w:ascii="Times New Roman" w:cs="Times New Roman" w:eastAsia="Times New Roman" w:hAnsi="Times New Roman"/>
          <w:sz w:val="24"/>
          <w:szCs w:val="24"/>
        </w:rPr>
        <w:t xml:space="preserve">In a capitalist system, wealth is concentrated among perhaps the top 1% of the population — roughly 3.3 million Americans in a nation of 330 million. They are subject to taxation, scrutiny, markets that can destroy their fortunes (as happened to hundreds of dot-com billionaires in 2000 and dozens of financial titans in 2008), and political systems they can influence but not control.</w:t>
      </w:r>
    </w:p>
    <w:p>
      <w:pPr>
        <w:spacing w:after="160" w:before="0" w:line="360"/>
        <w:ind w:left="0" w:firstLine="720"/>
        <w:jc w:val="both"/>
      </w:pPr>
      <w:r>
        <w:rPr>
          <w:rFonts w:ascii="Times New Roman" w:cs="Times New Roman" w:eastAsia="Times New Roman" w:hAnsi="Times New Roman"/>
          <w:sz w:val="24"/>
          <w:szCs w:val="24"/>
        </w:rPr>
        <w:t xml:space="preserve">In a Communist system, effective control of the economy is concentrated among the party apparatus. The Chinese Communist Party has approximately 97 million members — but the Politburo Standing Committee that actually governs China has 7 members. The Soviet Politburo averaged 12-15 members. The arithmetic is stark: capitalism concentrates wealth among millions; Communism concentrates power among dozens. The Communist oligarchs are fewer in number, richer in relative terms, less accountable, and less removable. If the goal is to reduce oligarchic power, Communism is not the solution — it is the problem in a different uniform.</w:t>
      </w:r>
    </w:p>
    <w:p>
      <w:pPr>
        <w:pStyle w:val="Heading1"/>
        <w:pageBreakBefore/>
        <w:spacing w:after="200" w:before="480"/>
      </w:pPr>
      <w:r>
        <w:rPr>
          <w:rFonts w:ascii="Times New Roman" w:cs="Times New Roman" w:eastAsia="Times New Roman" w:hAnsi="Times New Roman"/>
          <w:b/>
          <w:bCs/>
          <w:color w:val="1F3864"/>
          <w:sz w:val="32"/>
          <w:szCs w:val="32"/>
        </w:rPr>
        <w:t xml:space="preserve">VI. A Day in the Life: Communist America</w:t>
      </w:r>
    </w:p>
    <w:p>
      <w:pPr>
        <w:spacing w:after="160" w:before="0" w:line="360"/>
        <w:jc w:val="both"/>
      </w:pPr>
      <w:r>
        <w:rPr>
          <w:rFonts w:ascii="Times New Roman" w:cs="Times New Roman" w:eastAsia="Times New Roman" w:hAnsi="Times New Roman"/>
          <w:i/>
          <w:iCs/>
          <w:sz w:val="24"/>
          <w:szCs w:val="24"/>
        </w:rPr>
        <w:t xml:space="preserve">The following is a work of satirical fiction in the tradition of George Orwell's Animal Farm and Ray Bradbury's Fahrenheit 451. It is intended to illuminate, through humor, the everyday human costs of systems that have been lived and documented. Any resemblance to the actual policy platforms of specific American political figures is, of course, purely coincidental — and also sort of the point.</w:t>
      </w:r>
    </w:p>
    <w:p>
      <w:pPr>
        <w:pStyle w:val="Heading2"/>
        <w:spacing w:after="160" w:before="360"/>
      </w:pPr>
      <w:r>
        <w:rPr>
          <w:rFonts w:ascii="Times New Roman" w:cs="Times New Roman" w:eastAsia="Times New Roman" w:hAnsi="Times New Roman"/>
          <w:b/>
          <w:bCs/>
          <w:color w:val="8B0000"/>
          <w:sz w:val="28"/>
          <w:szCs w:val="28"/>
        </w:rPr>
        <w:t xml:space="preserve">6:00 AM — The People's Alarm</w:t>
      </w:r>
    </w:p>
    <w:p>
      <w:pPr>
        <w:spacing w:after="160" w:before="0" w:line="360"/>
        <w:ind w:left="0" w:firstLine="720"/>
        <w:jc w:val="both"/>
      </w:pPr>
      <w:r>
        <w:rPr>
          <w:rFonts w:ascii="Times New Roman" w:cs="Times New Roman" w:eastAsia="Times New Roman" w:hAnsi="Times New Roman"/>
          <w:sz w:val="24"/>
          <w:szCs w:val="24"/>
        </w:rPr>
        <w:t xml:space="preserve">The alarm sounds at 6:00 AM, as it does in every unit of the People's Residential Collective, formerly known as your apartment building. The alarm cannot be adjusted. The Party's Bureau of Temporal Optimization determined, after three years and $40 billion in central planning, that 6:00 AM is the optimal wake time for maximum collective productivity. The study was conducted by the same bureau that previously determined 6:15 AM was optimal. Before that, 6:30. The science, as they say, is settled.</w:t>
      </w:r>
    </w:p>
    <w:p>
      <w:pPr>
        <w:spacing w:after="160" w:before="0" w:line="360"/>
        <w:ind w:left="0" w:firstLine="720"/>
        <w:jc w:val="both"/>
      </w:pPr>
      <w:r>
        <w:rPr>
          <w:rFonts w:ascii="Times New Roman" w:cs="Times New Roman" w:eastAsia="Times New Roman" w:hAnsi="Times New Roman"/>
          <w:sz w:val="24"/>
          <w:szCs w:val="24"/>
        </w:rPr>
        <w:t xml:space="preserve">Your smartphone — the People's Communication Device, v3.2 — displays today's schedule. You have been assigned to Production Unit 7, formerly Apple, Inc. Your role: Senior Content Specialist for the Ministry of Information's Social Media Enhancement Division. Your previous job was software engineering. That job no longer exists as a private enterprise. The collective salary is the same for all engineers: 240 People's Credits per month. This is exactly what the guy who updates the Party Secretary's Wikipedia page earns. He updates it hourly. The Party Secretary, it should be noted, has never been wrong about anything.</w:t>
      </w:r>
    </w:p>
    <w:p>
      <w:pPr>
        <w:pStyle w:val="Heading2"/>
        <w:spacing w:after="160" w:before="360"/>
      </w:pPr>
      <w:r>
        <w:rPr>
          <w:rFonts w:ascii="Times New Roman" w:cs="Times New Roman" w:eastAsia="Times New Roman" w:hAnsi="Times New Roman"/>
          <w:b/>
          <w:bCs/>
          <w:color w:val="8B0000"/>
          <w:sz w:val="28"/>
          <w:szCs w:val="28"/>
        </w:rPr>
        <w:t xml:space="preserve">7:15 AM — The Bread Line</w:t>
      </w:r>
    </w:p>
    <w:p>
      <w:pPr>
        <w:spacing w:after="160" w:before="0" w:line="360"/>
        <w:ind w:left="0" w:firstLine="720"/>
        <w:jc w:val="both"/>
      </w:pPr>
      <w:r>
        <w:rPr>
          <w:rFonts w:ascii="Times New Roman" w:cs="Times New Roman" w:eastAsia="Times New Roman" w:hAnsi="Times New Roman"/>
          <w:sz w:val="24"/>
          <w:szCs w:val="24"/>
        </w:rPr>
        <w:t xml:space="preserve">Breakfast is obtained at the People's Nutrition Distribution Center on the ground floor, formerly the Starbucks. The line is not long today — only forty-five minutes. You present your ration card. You receive one bread roll, a small portion of approved vegetable spread (butter is a bourgeois affectation, per Party Circular 441-B), and a cup of the People's Morning Beverage, which tastes like what would happen if coffee learned about Marxism in college and decided principles were more important than flavor.</w:t>
      </w:r>
    </w:p>
    <w:p>
      <w:pPr>
        <w:spacing w:after="160" w:before="0" w:line="360"/>
        <w:ind w:left="0" w:firstLine="720"/>
        <w:jc w:val="both"/>
      </w:pPr>
      <w:r>
        <w:rPr>
          <w:rFonts w:ascii="Times New Roman" w:cs="Times New Roman" w:eastAsia="Times New Roman" w:hAnsi="Times New Roman"/>
          <w:sz w:val="24"/>
          <w:szCs w:val="24"/>
        </w:rPr>
        <w:t xml:space="preserve">The Party member at the front of the line — you can identify them by the red lapel pin — receives two bread rolls and something that appears to be an actual croissant. This is not inequality. The Party's Bureau of Nutritional Equity has determined that senior administrators require additional caloric intake to perform their duties of ensuring equitable caloric distribution. George Orwell, who predicted this exact arrangement in 1945, would not be surprised. He would, however, still be on the banned books list. Animal Farm, it turns out, is counterrevolutionary literature. Who knew?</w:t>
      </w:r>
    </w:p>
    <w:p>
      <w:pPr>
        <w:pStyle w:val="Heading2"/>
        <w:spacing w:after="160" w:before="360"/>
      </w:pPr>
      <w:r>
        <w:rPr>
          <w:rFonts w:ascii="Times New Roman" w:cs="Times New Roman" w:eastAsia="Times New Roman" w:hAnsi="Times New Roman"/>
          <w:b/>
          <w:bCs/>
          <w:color w:val="8B0000"/>
          <w:sz w:val="28"/>
          <w:szCs w:val="28"/>
        </w:rPr>
        <w:t xml:space="preserve">9:00 AM — The Commute</w:t>
      </w:r>
    </w:p>
    <w:p>
      <w:pPr>
        <w:spacing w:after="160" w:before="0" w:line="360"/>
        <w:ind w:left="0" w:firstLine="720"/>
        <w:jc w:val="both"/>
      </w:pPr>
      <w:r>
        <w:rPr>
          <w:rFonts w:ascii="Times New Roman" w:cs="Times New Roman" w:eastAsia="Times New Roman" w:hAnsi="Times New Roman"/>
          <w:sz w:val="24"/>
          <w:szCs w:val="24"/>
        </w:rPr>
        <w:t xml:space="preserve">You travel to Production Unit 7 on the People's Transportation Network, formerly the subway, now operating on a schedule determined by the People's Bureau of Locomotive Temporal Optimization (a different bureau from the alarm bureau, but staffed by the same people). Your apartment has been reassigned to a three-family unit since the People's Housing Authority determined that 850 square feet was more than one person requires. Your roommates are a retired schoolteacher and a man who insists he was a wine merchant before the collectivization and has not fully recovered from the transition.</w:t>
      </w:r>
    </w:p>
    <w:p>
      <w:pPr>
        <w:pStyle w:val="Heading2"/>
        <w:spacing w:after="160" w:before="360"/>
      </w:pPr>
      <w:r>
        <w:rPr>
          <w:rFonts w:ascii="Times New Roman" w:cs="Times New Roman" w:eastAsia="Times New Roman" w:hAnsi="Times New Roman"/>
          <w:b/>
          <w:bCs/>
          <w:color w:val="8B0000"/>
          <w:sz w:val="28"/>
          <w:szCs w:val="28"/>
        </w:rPr>
        <w:t xml:space="preserve">12:00 PM — The People's Cafeteria</w:t>
      </w:r>
    </w:p>
    <w:p>
      <w:pPr>
        <w:spacing w:after="160" w:before="0" w:line="360"/>
        <w:ind w:left="0" w:firstLine="720"/>
        <w:jc w:val="both"/>
      </w:pPr>
      <w:r>
        <w:rPr>
          <w:rFonts w:ascii="Times New Roman" w:cs="Times New Roman" w:eastAsia="Times New Roman" w:hAnsi="Times New Roman"/>
          <w:sz w:val="24"/>
          <w:szCs w:val="24"/>
        </w:rPr>
        <w:t xml:space="preserve">Lunch at the collective cafeteria. Today's menu: People's Stew. Tomorrow's menu: also People's Stew. The stew is adequate. You remember, dimly, a restaurant on this block that served something called a burrito bowl. Chipotle was, the Party has explained, a capitalist exploitation scheme that charged $13.50 for a meal that contained 1,400 calories of ideologically unsound ingredients. The People's Stew contains 800 calories of ideologically sound ingredients and is available for zero People's Credits — because it costs zero People's Credits to be adequately fed, which is a very different thing from eating well.</w:t>
      </w:r>
    </w:p>
    <w:p>
      <w:pPr>
        <w:spacing w:after="160" w:before="0" w:line="360"/>
        <w:ind w:left="0" w:firstLine="720"/>
        <w:jc w:val="both"/>
      </w:pPr>
      <w:r>
        <w:rPr>
          <w:rFonts w:ascii="Times New Roman" w:cs="Times New Roman" w:eastAsia="Times New Roman" w:hAnsi="Times New Roman"/>
          <w:sz w:val="24"/>
          <w:szCs w:val="24"/>
        </w:rPr>
        <w:t xml:space="preserve">Your coworker whispers that she heard there is an actual restaurant — privately operated, illegally — somewhere in what used to be Brooklyn. The prices are in old dollars, which technically no longer exist, paid in gold, which technically no one is allowed to own. The food is apparently excellent. The wait list is two months. You put your name on it.</w:t>
      </w:r>
    </w:p>
    <w:p>
      <w:pPr>
        <w:pStyle w:val="Heading2"/>
        <w:spacing w:after="160" w:before="360"/>
      </w:pPr>
      <w:r>
        <w:rPr>
          <w:rFonts w:ascii="Times New Roman" w:cs="Times New Roman" w:eastAsia="Times New Roman" w:hAnsi="Times New Roman"/>
          <w:b/>
          <w:bCs/>
          <w:color w:val="8B0000"/>
          <w:sz w:val="28"/>
          <w:szCs w:val="28"/>
        </w:rPr>
        <w:t xml:space="preserve">3:00 PM — Political Education Hour</w:t>
      </w:r>
    </w:p>
    <w:p>
      <w:pPr>
        <w:spacing w:after="160" w:before="0" w:line="360"/>
        <w:ind w:left="0" w:firstLine="720"/>
        <w:jc w:val="both"/>
      </w:pPr>
      <w:r>
        <w:rPr>
          <w:rFonts w:ascii="Times New Roman" w:cs="Times New Roman" w:eastAsia="Times New Roman" w:hAnsi="Times New Roman"/>
          <w:sz w:val="24"/>
          <w:szCs w:val="24"/>
        </w:rPr>
        <w:t xml:space="preserve">Every afternoon from 3:00 to 4:00 PM, work at Production Unit 7 pauses for Mandatory Political Education. Today's topic: the historical necessity of the transition. The presenter, Political Commissar Dmitri — formerly a middle school vice principal, now your supervisor by virtue of having read Das Kapital twice and attended the correct three-day certification course — explains, for the fourteenth consecutive week, why the pre-revolutionary economy was unfair. This is not disputed. The disputed part is whether the solution to unfairness was to make everyone equally unhappy while the people running the fairness program quietly kept the good croissants.</w:t>
      </w:r>
    </w:p>
    <w:p>
      <w:pPr>
        <w:pStyle w:val="Heading2"/>
        <w:spacing w:after="160" w:before="360"/>
      </w:pPr>
      <w:r>
        <w:rPr>
          <w:rFonts w:ascii="Times New Roman" w:cs="Times New Roman" w:eastAsia="Times New Roman" w:hAnsi="Times New Roman"/>
          <w:b/>
          <w:bCs/>
          <w:color w:val="8B0000"/>
          <w:sz w:val="28"/>
          <w:szCs w:val="28"/>
        </w:rPr>
        <w:t xml:space="preserve">7:00 PM — Evening Entertainment</w:t>
      </w:r>
    </w:p>
    <w:p>
      <w:pPr>
        <w:spacing w:after="160" w:before="0" w:line="360"/>
        <w:ind w:left="0" w:firstLine="720"/>
        <w:jc w:val="both"/>
      </w:pPr>
      <w:r>
        <w:rPr>
          <w:rFonts w:ascii="Times New Roman" w:cs="Times New Roman" w:eastAsia="Times New Roman" w:hAnsi="Times New Roman"/>
          <w:sz w:val="24"/>
          <w:szCs w:val="24"/>
        </w:rPr>
        <w:t xml:space="preserve">State television offers four channels. Channel 1 airs a documentary about the Chairman's economic wisdom. Channel 2 airs a documentary about the Chairman's environmental vision. Channel 3 airs a sporting event featuring the People's Athletic Collective defeating a foreign team, 7-0, which seems statistically improbable but is apparently what happened. Channel 4 is the People's Cultural Arts Program, which tonight features an approved musical performance by the People's Ensemble for Ideologically Consistent Popular Music, performing original compositions that are technically songs.</w:t>
      </w:r>
    </w:p>
    <w:p>
      <w:pPr>
        <w:spacing w:after="160" w:before="0" w:line="360"/>
        <w:ind w:left="0" w:firstLine="720"/>
        <w:jc w:val="both"/>
      </w:pPr>
      <w:r>
        <w:rPr>
          <w:rFonts w:ascii="Times New Roman" w:cs="Times New Roman" w:eastAsia="Times New Roman" w:hAnsi="Times New Roman"/>
          <w:sz w:val="24"/>
          <w:szCs w:val="24"/>
        </w:rPr>
        <w:t xml:space="preserve">You attempt to use your People's Communication Device to access the internet. The People's Approved Information Network provides access to 2,400 websites, down from the previous internet's 1.9 billion. Wikipedia exists, but the entries for several historical events have been substantially revised. The entry for "Animal Farm" notes that it is "a counterrevolutionary propaganda text falsely presented as a children's story about farm animals" and that it is "not recommended for educational purposes." The entry for Fahrenheit 451 simply reads: "See: Fire Safety Regulations, People's Bureau of Approved Literature."</w:t>
      </w:r>
    </w:p>
    <w:p>
      <w:pPr>
        <w:pStyle w:val="Heading2"/>
        <w:spacing w:after="160" w:before="360"/>
      </w:pPr>
      <w:r>
        <w:rPr>
          <w:rFonts w:ascii="Times New Roman" w:cs="Times New Roman" w:eastAsia="Times New Roman" w:hAnsi="Times New Roman"/>
          <w:b/>
          <w:bCs/>
          <w:color w:val="8B0000"/>
          <w:sz w:val="28"/>
          <w:szCs w:val="28"/>
        </w:rPr>
        <w:t xml:space="preserve">11:00 PM — The Diary</w:t>
      </w:r>
    </w:p>
    <w:p>
      <w:pPr>
        <w:spacing w:after="160" w:before="0" w:line="360"/>
        <w:ind w:left="0" w:firstLine="720"/>
        <w:jc w:val="both"/>
      </w:pPr>
      <w:r>
        <w:rPr>
          <w:rFonts w:ascii="Times New Roman" w:cs="Times New Roman" w:eastAsia="Times New Roman" w:hAnsi="Times New Roman"/>
          <w:sz w:val="24"/>
          <w:szCs w:val="24"/>
        </w:rPr>
        <w:t xml:space="preserve">You write three sentences in a small notebook, then stop. The Neighborhood Transparency Council — elected, technically, by a show of hands at a meeting where only party members attend — has the authority to report Expressions of Counterrevolutionary Sentiment to the Bureau of Ideological Safety. Counterrevolutionary Sentiment includes nostalgia for pre-revolutionary conditions, possession of banned literature, and — this one is new this year — "persistent facial expressions suggesting discontent." The neighbor's twelve-year-old was referred to the People's Youth Re-Orientation Program last week for having mentioned, in school, that the book his grandmother gave him — the one about the pigs and the farm — had a different ending in it than the approved curriculum version. The grandmother's copy of the book has since been collected.</w:t>
      </w:r>
    </w:p>
    <w:p>
      <w:pPr>
        <w:spacing w:after="160" w:before="0" w:line="360"/>
        <w:ind w:left="0" w:firstLine="720"/>
        <w:jc w:val="both"/>
      </w:pPr>
      <w:r>
        <w:rPr>
          <w:rFonts w:ascii="Times New Roman" w:cs="Times New Roman" w:eastAsia="Times New Roman" w:hAnsi="Times New Roman"/>
          <w:sz w:val="24"/>
          <w:szCs w:val="24"/>
        </w:rPr>
        <w:t xml:space="preserve">You close the notebook. You did not write anything of consequence in it. This, perhaps, is the truest cost of the system: not the stew, not the alarm, not the croissant differential. It is the notebook that stays blank. It is the thought that stays unwritten. Ray Bradbury understood this perfectly. You did not need to burn the books to silence the people. You only needed to make the people afraid to write them.</w:t>
      </w:r>
    </w:p>
    <w:p>
      <w:pPr>
        <w:shd w:fill="FEE2E2" w:color="auto" w:val="clear"/>
        <w:spacing w:after="200" w:before="200" w:line="360"/>
        <w:ind w:left="720" w:right="720"/>
        <w:jc w:val="both"/>
      </w:pPr>
      <w:r>
        <w:rPr>
          <w:rFonts w:ascii="Times New Roman" w:cs="Times New Roman" w:eastAsia="Times New Roman" w:hAnsi="Times New Roman"/>
          <w:i/>
          <w:iCs/>
          <w:sz w:val="24"/>
          <w:szCs w:val="24"/>
        </w:rPr>
        <w:t xml:space="preserve">This satirical account is not fantasy. Every scenario above — the Nomenklatura food privileges, the mandatory political education, the neighborhood informant committees, the banned books, the reassigned housing, the blank diaries — is drawn directly from documented firsthand accounts of life in the Soviet Union, Communist China, and Cuba. See: Applebaum (2003), Chang &amp; Halliday (2005), Valladares (1986).</w:t>
      </w:r>
    </w:p>
    <w:p>
      <w:pPr>
        <w:pStyle w:val="Heading1"/>
        <w:pageBreakBefore/>
        <w:spacing w:after="200" w:before="480"/>
      </w:pPr>
      <w:r>
        <w:rPr>
          <w:rFonts w:ascii="Times New Roman" w:cs="Times New Roman" w:eastAsia="Times New Roman" w:hAnsi="Times New Roman"/>
          <w:b/>
          <w:bCs/>
          <w:color w:val="1F3864"/>
          <w:sz w:val="32"/>
          <w:szCs w:val="32"/>
        </w:rPr>
        <w:t xml:space="preserve">Appendix A: References</w:t>
      </w:r>
    </w:p>
    <w:p>
      <w:pPr>
        <w:spacing w:after="160" w:before="0" w:line="360"/>
        <w:jc w:val="both"/>
      </w:pPr>
      <w:r>
        <w:rPr>
          <w:rFonts w:ascii="Times New Roman" w:cs="Times New Roman" w:eastAsia="Times New Roman" w:hAnsi="Times New Roman"/>
          <w:sz w:val="24"/>
          <w:szCs w:val="24"/>
        </w:rPr>
        <w:t xml:space="preserve">The following references are formatted in accordance with the Publication Manual of the American Psychological Association, 7th edition (American Psychological Association, 2020).</w:t>
      </w:r>
    </w:p>
    <w:p>
      <w:pPr>
        <w:spacing w:after="200"/>
      </w:pPr>
      <w:r>
        <w:t xml:space="preserve"/>
      </w:r>
    </w:p>
    <w:p>
      <w:pPr>
        <w:pStyle w:val="Heading3"/>
        <w:spacing w:after="120" w:before="280"/>
      </w:pPr>
      <w:r>
        <w:rPr>
          <w:rFonts w:ascii="Times New Roman" w:cs="Times New Roman" w:eastAsia="Times New Roman" w:hAnsi="Times New Roman"/>
          <w:b/>
          <w:bCs/>
          <w:color w:val="333333"/>
          <w:sz w:val="26"/>
          <w:szCs w:val="26"/>
        </w:rPr>
        <w:t xml:space="preserve">Books and Scholarly Works</w:t>
      </w:r>
    </w:p>
    <w:p>
      <w:pPr>
        <w:spacing w:after="200" w:line="360"/>
        <w:ind w:left="720" w:hanging="720"/>
        <w:jc w:val="both"/>
      </w:pPr>
      <w:r>
        <w:rPr>
          <w:rFonts w:ascii="Times New Roman" w:cs="Times New Roman" w:eastAsia="Times New Roman" w:hAnsi="Times New Roman"/>
          <w:sz w:val="24"/>
          <w:szCs w:val="24"/>
        </w:rPr>
        <w:t xml:space="preserve">Applebaum, A. (2003). Gulag: A history. Doubleday.</w:t>
      </w:r>
    </w:p>
    <w:p>
      <w:pPr>
        <w:spacing w:after="200" w:line="360"/>
        <w:ind w:left="720" w:hanging="720"/>
        <w:jc w:val="both"/>
      </w:pPr>
      <w:r>
        <w:rPr>
          <w:rFonts w:ascii="Times New Roman" w:cs="Times New Roman" w:eastAsia="Times New Roman" w:hAnsi="Times New Roman"/>
          <w:sz w:val="24"/>
          <w:szCs w:val="24"/>
        </w:rPr>
        <w:t xml:space="preserve">Applebaum, A. (2017). Red famine: Stalin's war on Ukraine. Doubleday.</w:t>
      </w:r>
    </w:p>
    <w:p>
      <w:pPr>
        <w:spacing w:after="200" w:line="360"/>
        <w:ind w:left="720" w:hanging="720"/>
        <w:jc w:val="both"/>
      </w:pPr>
      <w:r>
        <w:rPr>
          <w:rFonts w:ascii="Times New Roman" w:cs="Times New Roman" w:eastAsia="Times New Roman" w:hAnsi="Times New Roman"/>
          <w:sz w:val="24"/>
          <w:szCs w:val="24"/>
        </w:rPr>
        <w:t xml:space="preserve">Belton, C. (2020). Putin's people: How the KGB took back Russia and then took on the West. Farrar, Straus and Giroux.</w:t>
      </w:r>
    </w:p>
    <w:p>
      <w:pPr>
        <w:spacing w:after="200" w:line="360"/>
        <w:ind w:left="720" w:hanging="720"/>
        <w:jc w:val="both"/>
      </w:pPr>
      <w:r>
        <w:rPr>
          <w:rFonts w:ascii="Times New Roman" w:cs="Times New Roman" w:eastAsia="Times New Roman" w:hAnsi="Times New Roman"/>
          <w:sz w:val="24"/>
          <w:szCs w:val="24"/>
        </w:rPr>
        <w:t xml:space="preserve">Chang, J., &amp; Halliday, J. (2005). Mao: The unknown story. Knopf.</w:t>
      </w:r>
    </w:p>
    <w:p>
      <w:pPr>
        <w:spacing w:after="200" w:line="360"/>
        <w:ind w:left="720" w:hanging="720"/>
        <w:jc w:val="both"/>
      </w:pPr>
      <w:r>
        <w:rPr>
          <w:rFonts w:ascii="Times New Roman" w:cs="Times New Roman" w:eastAsia="Times New Roman" w:hAnsi="Times New Roman"/>
          <w:sz w:val="24"/>
          <w:szCs w:val="24"/>
        </w:rPr>
        <w:t xml:space="preserve">Hayek, F. A. (1945). The use of knowledge in society. American Economic Review, 35(4), 519–530.</w:t>
      </w:r>
    </w:p>
    <w:p>
      <w:pPr>
        <w:spacing w:after="200" w:line="360"/>
        <w:ind w:left="720" w:hanging="720"/>
        <w:jc w:val="both"/>
      </w:pPr>
      <w:r>
        <w:rPr>
          <w:rFonts w:ascii="Times New Roman" w:cs="Times New Roman" w:eastAsia="Times New Roman" w:hAnsi="Times New Roman"/>
          <w:sz w:val="24"/>
          <w:szCs w:val="24"/>
        </w:rPr>
        <w:t xml:space="preserve">Heywood, A. (2017). Political ideologies: An introduction (6th ed.). Palgrave Macmillan.</w:t>
      </w:r>
    </w:p>
    <w:p>
      <w:pPr>
        <w:spacing w:after="200" w:line="360"/>
        <w:ind w:left="720" w:hanging="720"/>
        <w:jc w:val="both"/>
      </w:pPr>
      <w:r>
        <w:rPr>
          <w:rFonts w:ascii="Times New Roman" w:cs="Times New Roman" w:eastAsia="Times New Roman" w:hAnsi="Times New Roman"/>
          <w:sz w:val="24"/>
          <w:szCs w:val="24"/>
        </w:rPr>
        <w:t xml:space="preserve">Maddison, A. (2001). The world economy: A millennial perspective. OECD Publishing.</w:t>
      </w:r>
    </w:p>
    <w:p>
      <w:pPr>
        <w:spacing w:after="200" w:line="360"/>
        <w:ind w:left="720" w:hanging="720"/>
        <w:jc w:val="both"/>
      </w:pPr>
      <w:r>
        <w:rPr>
          <w:rFonts w:ascii="Times New Roman" w:cs="Times New Roman" w:eastAsia="Times New Roman" w:hAnsi="Times New Roman"/>
          <w:sz w:val="24"/>
          <w:szCs w:val="24"/>
        </w:rPr>
        <w:t xml:space="preserve">Marx, K., &amp; Engels, F. (2004). The Communist manifesto (L. M. Findlay, Trans.). Broadview Press. (Original work published 1848)</w:t>
      </w:r>
    </w:p>
    <w:p>
      <w:pPr>
        <w:spacing w:after="200" w:line="360"/>
        <w:ind w:left="720" w:hanging="720"/>
        <w:jc w:val="both"/>
      </w:pPr>
      <w:r>
        <w:rPr>
          <w:rFonts w:ascii="Times New Roman" w:cs="Times New Roman" w:eastAsia="Times New Roman" w:hAnsi="Times New Roman"/>
          <w:sz w:val="24"/>
          <w:szCs w:val="24"/>
        </w:rPr>
        <w:t xml:space="preserve">Piketty, T. (2014). Capital in the twenty-first century (A. Goldhammer, Trans.). Belknap Press.</w:t>
      </w:r>
    </w:p>
    <w:p>
      <w:pPr>
        <w:spacing w:after="200" w:line="360"/>
        <w:ind w:left="720" w:hanging="720"/>
        <w:jc w:val="both"/>
      </w:pPr>
      <w:r>
        <w:rPr>
          <w:rFonts w:ascii="Times New Roman" w:cs="Times New Roman" w:eastAsia="Times New Roman" w:hAnsi="Times New Roman"/>
          <w:sz w:val="24"/>
          <w:szCs w:val="24"/>
        </w:rPr>
        <w:t xml:space="preserve">Valladares, A. (1986). Against all hope: A memoir of life in Castro's gulag (A. Hurley, Trans.). Knopf.</w:t>
      </w:r>
    </w:p>
    <w:p>
      <w:pPr>
        <w:spacing w:after="200" w:line="360"/>
        <w:ind w:left="720" w:hanging="720"/>
        <w:jc w:val="both"/>
      </w:pPr>
      <w:r>
        <w:rPr>
          <w:rFonts w:ascii="Times New Roman" w:cs="Times New Roman" w:eastAsia="Times New Roman" w:hAnsi="Times New Roman"/>
          <w:sz w:val="24"/>
          <w:szCs w:val="24"/>
        </w:rPr>
        <w:t xml:space="preserve">von Mises, L. (2012). Economic calculation in the socialist commonwealth. Ludwig von Mises Institute. (Original work published 1920)</w:t>
      </w:r>
    </w:p>
    <w:p>
      <w:pPr>
        <w:spacing w:after="200" w:line="360"/>
        <w:ind w:left="720" w:hanging="720"/>
        <w:jc w:val="both"/>
      </w:pPr>
      <w:r>
        <w:rPr>
          <w:rFonts w:ascii="Times New Roman" w:cs="Times New Roman" w:eastAsia="Times New Roman" w:hAnsi="Times New Roman"/>
          <w:sz w:val="24"/>
          <w:szCs w:val="24"/>
        </w:rPr>
        <w:t xml:space="preserve">Voslensky, M. (1984). Nomenklatura: The Soviet ruling class. Doubleday.</w:t>
      </w:r>
    </w:p>
    <w:p>
      <w:pPr>
        <w:pStyle w:val="Heading3"/>
        <w:spacing w:after="120" w:before="280"/>
      </w:pPr>
      <w:r>
        <w:rPr>
          <w:rFonts w:ascii="Times New Roman" w:cs="Times New Roman" w:eastAsia="Times New Roman" w:hAnsi="Times New Roman"/>
          <w:b/>
          <w:bCs/>
          <w:color w:val="333333"/>
          <w:sz w:val="26"/>
          <w:szCs w:val="26"/>
        </w:rPr>
        <w:t xml:space="preserve">Government Reports and Legal Sources</w:t>
      </w:r>
    </w:p>
    <w:p>
      <w:pPr>
        <w:spacing w:after="200" w:line="360"/>
        <w:ind w:left="720" w:hanging="720"/>
        <w:jc w:val="both"/>
      </w:pPr>
      <w:r>
        <w:rPr>
          <w:rFonts w:ascii="Times New Roman" w:cs="Times New Roman" w:eastAsia="Times New Roman" w:hAnsi="Times New Roman"/>
          <w:sz w:val="24"/>
          <w:szCs w:val="24"/>
        </w:rPr>
        <w:t xml:space="preserve">District of Columbia v. Heller, 554 U.S. 570 (2008).</w:t>
      </w:r>
    </w:p>
    <w:p>
      <w:pPr>
        <w:spacing w:after="200" w:line="360"/>
        <w:ind w:left="720" w:hanging="720"/>
        <w:jc w:val="both"/>
      </w:pPr>
      <w:r>
        <w:rPr>
          <w:rFonts w:ascii="Times New Roman" w:cs="Times New Roman" w:eastAsia="Times New Roman" w:hAnsi="Times New Roman"/>
          <w:sz w:val="24"/>
          <w:szCs w:val="24"/>
        </w:rPr>
        <w:t xml:space="preserve">Federal Bureau of Investigation. (2020). China: The risk to academia. U.S. Department of Justice. https://www.fbi.gov</w:t>
      </w:r>
    </w:p>
    <w:p>
      <w:pPr>
        <w:spacing w:after="200" w:line="360"/>
        <w:ind w:left="720" w:hanging="720"/>
        <w:jc w:val="both"/>
      </w:pPr>
      <w:r>
        <w:rPr>
          <w:rFonts w:ascii="Times New Roman" w:cs="Times New Roman" w:eastAsia="Times New Roman" w:hAnsi="Times New Roman"/>
          <w:sz w:val="24"/>
          <w:szCs w:val="24"/>
        </w:rPr>
        <w:t xml:space="preserve">Foreign Agent Registration Act, 22 U.S.C. § 611 et seq. (1938).</w:t>
      </w:r>
    </w:p>
    <w:p>
      <w:pPr>
        <w:spacing w:after="200" w:line="360"/>
        <w:ind w:left="720" w:hanging="720"/>
        <w:jc w:val="both"/>
      </w:pPr>
      <w:r>
        <w:rPr>
          <w:rFonts w:ascii="Times New Roman" w:cs="Times New Roman" w:eastAsia="Times New Roman" w:hAnsi="Times New Roman"/>
          <w:sz w:val="24"/>
          <w:szCs w:val="24"/>
        </w:rPr>
        <w:t xml:space="preserve">Loretto v. Teleprompter Manhattan CATV Corp., 458 U.S. 419 (1982).</w:t>
      </w:r>
    </w:p>
    <w:p>
      <w:pPr>
        <w:spacing w:after="200" w:line="360"/>
        <w:ind w:left="720" w:hanging="720"/>
        <w:jc w:val="both"/>
      </w:pPr>
      <w:r>
        <w:rPr>
          <w:rFonts w:ascii="Times New Roman" w:cs="Times New Roman" w:eastAsia="Times New Roman" w:hAnsi="Times New Roman"/>
          <w:sz w:val="24"/>
          <w:szCs w:val="24"/>
        </w:rPr>
        <w:t xml:space="preserve">McDonald v. City of Chicago, 561 U.S. 742 (2010).</w:t>
      </w:r>
    </w:p>
    <w:p>
      <w:pPr>
        <w:spacing w:after="200" w:line="360"/>
        <w:ind w:left="720" w:hanging="720"/>
        <w:jc w:val="both"/>
      </w:pPr>
      <w:r>
        <w:rPr>
          <w:rFonts w:ascii="Times New Roman" w:cs="Times New Roman" w:eastAsia="Times New Roman" w:hAnsi="Times New Roman"/>
          <w:sz w:val="24"/>
          <w:szCs w:val="24"/>
        </w:rPr>
        <w:t xml:space="preserve">Penn Central Transportation Co. v. New York City, 438 U.S. 104 (1978).</w:t>
      </w:r>
    </w:p>
    <w:p>
      <w:pPr>
        <w:spacing w:after="200" w:line="360"/>
        <w:ind w:left="720" w:hanging="720"/>
        <w:jc w:val="both"/>
      </w:pPr>
      <w:r>
        <w:rPr>
          <w:rFonts w:ascii="Times New Roman" w:cs="Times New Roman" w:eastAsia="Times New Roman" w:hAnsi="Times New Roman"/>
          <w:sz w:val="24"/>
          <w:szCs w:val="24"/>
        </w:rPr>
        <w:t xml:space="preserve">Senate Permanent Subcommittee on Investigations. (2019). China's impact on the U.S. education system. U.S. Senate.</w:t>
      </w:r>
    </w:p>
    <w:p>
      <w:pPr>
        <w:spacing w:after="200" w:line="360"/>
        <w:ind w:left="720" w:hanging="720"/>
        <w:jc w:val="both"/>
      </w:pPr>
      <w:r>
        <w:rPr>
          <w:rFonts w:ascii="Times New Roman" w:cs="Times New Roman" w:eastAsia="Times New Roman" w:hAnsi="Times New Roman"/>
          <w:sz w:val="24"/>
          <w:szCs w:val="24"/>
        </w:rPr>
        <w:t xml:space="preserve">Senate Select Committee on Intelligence. (2020). Report on Russian active measures campaigns and interference in the 2016 U.S. election (Vol. 2). U.S. Government Publishing Office.</w:t>
      </w:r>
    </w:p>
    <w:p>
      <w:pPr>
        <w:spacing w:after="200" w:line="360"/>
        <w:ind w:left="720" w:hanging="720"/>
        <w:jc w:val="both"/>
      </w:pPr>
      <w:r>
        <w:rPr>
          <w:rFonts w:ascii="Times New Roman" w:cs="Times New Roman" w:eastAsia="Times New Roman" w:hAnsi="Times New Roman"/>
          <w:sz w:val="24"/>
          <w:szCs w:val="24"/>
        </w:rPr>
        <w:t xml:space="preserve">Global Engagement Center. (2023). GEC special report: Russia's foreign information manipulation and interference operations. U.S. Department of State.</w:t>
      </w:r>
    </w:p>
    <w:p>
      <w:pPr>
        <w:spacing w:after="200" w:line="360"/>
        <w:ind w:left="720" w:hanging="720"/>
        <w:jc w:val="both"/>
      </w:pPr>
      <w:r>
        <w:rPr>
          <w:rFonts w:ascii="Times New Roman" w:cs="Times New Roman" w:eastAsia="Times New Roman" w:hAnsi="Times New Roman"/>
          <w:sz w:val="24"/>
          <w:szCs w:val="24"/>
        </w:rPr>
        <w:t xml:space="preserve">U.S. Census Bureau. (2024). Current population survey: Housing vacancy survey. U.S. Department of Commerce.</w:t>
      </w:r>
    </w:p>
    <w:p>
      <w:pPr>
        <w:pStyle w:val="Heading3"/>
        <w:spacing w:after="120" w:before="280"/>
      </w:pPr>
      <w:r>
        <w:rPr>
          <w:rFonts w:ascii="Times New Roman" w:cs="Times New Roman" w:eastAsia="Times New Roman" w:hAnsi="Times New Roman"/>
          <w:b/>
          <w:bCs/>
          <w:color w:val="333333"/>
          <w:sz w:val="26"/>
          <w:szCs w:val="26"/>
        </w:rPr>
        <w:t xml:space="preserve">Statistical and Economic Sources</w:t>
      </w:r>
    </w:p>
    <w:p>
      <w:pPr>
        <w:spacing w:after="200" w:line="360"/>
        <w:ind w:left="720" w:hanging="720"/>
        <w:jc w:val="both"/>
      </w:pPr>
      <w:r>
        <w:rPr>
          <w:rFonts w:ascii="Times New Roman" w:cs="Times New Roman" w:eastAsia="Times New Roman" w:hAnsi="Times New Roman"/>
          <w:sz w:val="24"/>
          <w:szCs w:val="24"/>
        </w:rPr>
        <w:t xml:space="preserve">Gallup. (2024). Economy and personal finance. Gallup, Inc. https://news.gallup.com/poll/economy</w:t>
      </w:r>
    </w:p>
    <w:p>
      <w:pPr>
        <w:spacing w:after="200" w:line="360"/>
        <w:ind w:left="720" w:hanging="720"/>
        <w:jc w:val="both"/>
      </w:pPr>
      <w:r>
        <w:rPr>
          <w:rFonts w:ascii="Times New Roman" w:cs="Times New Roman" w:eastAsia="Times New Roman" w:hAnsi="Times New Roman"/>
          <w:sz w:val="24"/>
          <w:szCs w:val="24"/>
        </w:rPr>
        <w:t xml:space="preserve">Federal Reserve. (2024). Financial accounts of the United States: Flow of funds. Board of Governors of the Federal Reserve System.</w:t>
      </w:r>
    </w:p>
    <w:p>
      <w:pPr>
        <w:spacing w:after="200" w:line="360"/>
        <w:ind w:left="720" w:hanging="720"/>
        <w:jc w:val="both"/>
      </w:pPr>
      <w:r>
        <w:rPr>
          <w:rFonts w:ascii="Times New Roman" w:cs="Times New Roman" w:eastAsia="Times New Roman" w:hAnsi="Times New Roman"/>
          <w:sz w:val="24"/>
          <w:szCs w:val="24"/>
        </w:rPr>
        <w:t xml:space="preserve">International Monetary Fund. (2024). World economic outlook database. IMF. https://www.imf.org/en/Publications/WEO</w:t>
      </w:r>
    </w:p>
    <w:p>
      <w:pPr>
        <w:spacing w:after="200" w:line="360"/>
        <w:ind w:left="720" w:hanging="720"/>
        <w:jc w:val="both"/>
      </w:pPr>
      <w:r>
        <w:rPr>
          <w:rFonts w:ascii="Times New Roman" w:cs="Times New Roman" w:eastAsia="Times New Roman" w:hAnsi="Times New Roman"/>
          <w:sz w:val="24"/>
          <w:szCs w:val="24"/>
        </w:rPr>
        <w:t xml:space="preserve">Small Arms Survey. (2024). Global study on homicide: Firearms. Graduate Institute of International and Development Studies.</w:t>
      </w:r>
    </w:p>
    <w:p>
      <w:pPr>
        <w:spacing w:after="200" w:line="360"/>
        <w:ind w:left="720" w:hanging="720"/>
        <w:jc w:val="both"/>
      </w:pPr>
      <w:r>
        <w:rPr>
          <w:rFonts w:ascii="Times New Roman" w:cs="Times New Roman" w:eastAsia="Times New Roman" w:hAnsi="Times New Roman"/>
          <w:sz w:val="24"/>
          <w:szCs w:val="24"/>
        </w:rPr>
        <w:t xml:space="preserve">World Bank. (2024). GDP (current US$). World Bank National Accounts Data. https://data.worldbank.org</w:t>
      </w:r>
    </w:p>
    <w:p>
      <w:pPr>
        <w:pStyle w:val="Heading3"/>
        <w:spacing w:after="120" w:before="280"/>
      </w:pPr>
      <w:r>
        <w:rPr>
          <w:rFonts w:ascii="Times New Roman" w:cs="Times New Roman" w:eastAsia="Times New Roman" w:hAnsi="Times New Roman"/>
          <w:b/>
          <w:bCs/>
          <w:color w:val="333333"/>
          <w:sz w:val="26"/>
          <w:szCs w:val="26"/>
        </w:rPr>
        <w:t xml:space="preserve">Journalism and Media Sources</w:t>
      </w:r>
    </w:p>
    <w:p>
      <w:pPr>
        <w:spacing w:after="200" w:line="360"/>
        <w:ind w:left="720" w:hanging="720"/>
        <w:jc w:val="both"/>
      </w:pPr>
      <w:r>
        <w:rPr>
          <w:rFonts w:ascii="Times New Roman" w:cs="Times New Roman" w:eastAsia="Times New Roman" w:hAnsi="Times New Roman"/>
          <w:sz w:val="24"/>
          <w:szCs w:val="24"/>
        </w:rPr>
        <w:t xml:space="preserve">Barboza, D. (2012, October 25). Billions in hidden riches for family of Chinese leader. The New York Times. https://www.nytimes.com</w:t>
      </w:r>
    </w:p>
    <w:p>
      <w:pPr>
        <w:spacing w:after="200" w:line="360"/>
        <w:ind w:left="720" w:hanging="720"/>
        <w:jc w:val="both"/>
      </w:pPr>
      <w:r>
        <w:rPr>
          <w:rFonts w:ascii="Times New Roman" w:cs="Times New Roman" w:eastAsia="Times New Roman" w:hAnsi="Times New Roman"/>
          <w:sz w:val="24"/>
          <w:szCs w:val="24"/>
        </w:rPr>
        <w:t xml:space="preserve">Bloomberg News. (2012, June 29). Xi Jinping millionaire relations reveal fortunes of elite. Bloomberg. https://www.bloomberg.com</w:t>
      </w:r>
    </w:p>
    <w:p>
      <w:pPr>
        <w:spacing w:after="200" w:line="360"/>
        <w:ind w:left="720" w:hanging="720"/>
        <w:jc w:val="both"/>
      </w:pPr>
      <w:r>
        <w:rPr>
          <w:rFonts w:ascii="Times New Roman" w:cs="Times New Roman" w:eastAsia="Times New Roman" w:hAnsi="Times New Roman"/>
          <w:sz w:val="24"/>
          <w:szCs w:val="24"/>
        </w:rPr>
        <w:t xml:space="preserve">Bump, P. (2019, April 10). Bernie Sanders owns three homes and made $1 million in 2016 and 2017. The Washington Post. https://www.washingtonpost.com</w:t>
      </w:r>
    </w:p>
    <w:p>
      <w:pPr>
        <w:spacing w:after="200" w:line="360"/>
        <w:ind w:left="720" w:hanging="720"/>
        <w:jc w:val="both"/>
      </w:pPr>
      <w:r>
        <w:rPr>
          <w:rFonts w:ascii="Times New Roman" w:cs="Times New Roman" w:eastAsia="Times New Roman" w:hAnsi="Times New Roman"/>
          <w:sz w:val="24"/>
          <w:szCs w:val="24"/>
        </w:rPr>
        <w:t xml:space="preserve">Gilens, M., &amp; Page, B. I. (2014). Testing theories of American politics: Elites, interest groups, and average citizens. Perspectives on Politics, 12(3), 564–581. https://doi.org/10.1017/S1537592714001595</w:t>
      </w:r>
    </w:p>
    <w:p>
      <w:pPr>
        <w:spacing w:after="200" w:line="360"/>
        <w:ind w:left="720" w:hanging="720"/>
        <w:jc w:val="both"/>
      </w:pPr>
      <w:r>
        <w:rPr>
          <w:rFonts w:ascii="Times New Roman" w:cs="Times New Roman" w:eastAsia="Times New Roman" w:hAnsi="Times New Roman"/>
          <w:sz w:val="24"/>
          <w:szCs w:val="24"/>
        </w:rPr>
        <w:t xml:space="preserve">Sanders, B. (2023). It's OK to be angry about capitalism. Crown.</w:t>
      </w:r>
    </w:p>
    <w:p>
      <w:pPr>
        <w:spacing w:after="200" w:line="360"/>
        <w:ind w:left="720" w:hanging="720"/>
        <w:jc w:val="both"/>
      </w:pPr>
      <w:r>
        <w:rPr>
          <w:rFonts w:ascii="Times New Roman" w:cs="Times New Roman" w:eastAsia="Times New Roman" w:hAnsi="Times New Roman"/>
          <w:sz w:val="24"/>
          <w:szCs w:val="24"/>
        </w:rPr>
        <w:t xml:space="preserve">Democratic Socialists of America. (2023). Annual report 2023. DSA. https://www.dsausa.org</w:t>
      </w:r>
    </w:p>
    <w:p>
      <w:pPr>
        <w:spacing w:after="200" w:line="360"/>
        <w:ind w:left="720" w:hanging="720"/>
        <w:jc w:val="both"/>
      </w:pPr>
      <w:r>
        <w:rPr>
          <w:rFonts w:ascii="Times New Roman" w:cs="Times New Roman" w:eastAsia="Times New Roman" w:hAnsi="Times New Roman"/>
          <w:sz w:val="24"/>
          <w:szCs w:val="24"/>
        </w:rPr>
        <w:t xml:space="preserve">Nobel Prize Organization. (2024). Nobel Prize statistics. NobelPrize.org. https://www.nobelprize.org/prizes/facts/</w:t>
      </w:r>
    </w:p>
    <w:sectPr>
      <w:pgSz w:w="11906" w:h="16838" w:orient="portrait"/>
      <w:pgMar w:top="1800" w:right="1800" w:bottom="180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2026-06-27T13:42:55.146Z</dcterms:created>
  <dcterms:modified xsi:type="dcterms:W3CDTF">2026-06-27T13:42:55.146Z</dcterms:modified>
</cp:coreProperties>
</file>

<file path=docProps/custom.xml><?xml version="1.0" encoding="utf-8"?>
<Properties xmlns="http://schemas.openxmlformats.org/officeDocument/2006/custom-properties" xmlns:vt="http://schemas.openxmlformats.org/officeDocument/2006/docPropsVTypes"/>
</file>