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br/>
        <w:br/>
        <w:br/>
        <w:br/>
        <w:t xml:space="preserve"/>
      </w:r>
    </w:p>
    <w:p>
      <w:pPr>
        <w:spacing w:after="400"/>
        <w:jc w:val="center"/>
      </w:pPr>
      <w:r>
        <w:rPr>
          <w:rFonts w:ascii="Times New Roman" w:cs="Times New Roman" w:eastAsia="Times New Roman" w:hAnsi="Times New Roman"/>
          <w:b/>
          <w:bCs/>
          <w:color w:val="1F3864"/>
          <w:sz w:val="40"/>
          <w:szCs w:val="40"/>
        </w:rPr>
        <w:t xml:space="preserve">THE THREAT OF COMMUNISM TO THE UNITED STATES</w:t>
      </w:r>
    </w:p>
    <w:p>
      <w:pPr>
        <w:spacing w:after="200"/>
        <w:jc w:val="center"/>
      </w:pPr>
      <w:r>
        <w:rPr>
          <w:rFonts w:ascii="Times New Roman" w:cs="Times New Roman" w:eastAsia="Times New Roman" w:hAnsi="Times New Roman"/>
          <w:b/>
          <w:bCs/>
          <w:color w:val="8B0000"/>
          <w:sz w:val="32"/>
          <w:szCs w:val="32"/>
        </w:rPr>
        <w:t xml:space="preserve">The Long Arm of Beijing: CCP Influence Operations in America</w:t>
      </w:r>
    </w:p>
    <w:p>
      <w:pPr>
        <w:spacing w:after="800"/>
        <w:jc w:val="center"/>
      </w:pPr>
      <w:r>
        <w:rPr>
          <w:rFonts w:ascii="Times New Roman" w:cs="Times New Roman" w:eastAsia="Times New Roman" w:hAnsi="Times New Roman"/>
          <w:i/>
          <w:iCs/>
          <w:sz w:val="24"/>
          <w:szCs w:val="24"/>
        </w:rPr>
        <w:t xml:space="preserve">Part Five of a Series on the Communist Threat to the United States</w:t>
      </w:r>
    </w:p>
    <w:p>
      <w:pPr>
        <w:jc w:val="center"/>
      </w:pPr>
      <w:r>
        <w:rPr>
          <w:rFonts w:ascii="Times New Roman" w:cs="Times New Roman" w:eastAsia="Times New Roman" w:hAnsi="Times New Roman"/>
          <w:sz w:val="24"/>
          <w:szCs w:val="24"/>
        </w:rPr>
        <w:t xml:space="preserve">2026</w:t>
      </w:r>
    </w:p>
    <w:p>
      <w:r>
        <w:br w:type="page"/>
      </w:r>
    </w:p>
    <w:p>
      <w:pPr>
        <w:pStyle w:val="Heading1"/>
        <w:pageBreakBefore/>
        <w:spacing w:after="200" w:before="480"/>
      </w:pPr>
      <w:r>
        <w:rPr>
          <w:rFonts w:ascii="Times New Roman" w:cs="Times New Roman" w:eastAsia="Times New Roman" w:hAnsi="Times New Roman"/>
          <w:b/>
          <w:bCs/>
          <w:color w:val="1F3864"/>
          <w:sz w:val="32"/>
          <w:szCs w:val="32"/>
        </w:rPr>
        <w:t xml:space="preserve">Introduction</w:t>
      </w:r>
    </w:p>
    <w:p>
      <w:pPr>
        <w:spacing w:after="160" w:before="0" w:line="360"/>
        <w:ind w:firstLine="720"/>
        <w:jc w:val="both"/>
      </w:pPr>
      <w:r>
        <w:rPr>
          <w:rFonts w:ascii="Times New Roman" w:cs="Times New Roman" w:eastAsia="Times New Roman" w:hAnsi="Times New Roman"/>
          <w:sz w:val="24"/>
          <w:szCs w:val="24"/>
        </w:rPr>
        <w:t xml:space="preserve">The previous papers in this series have examined the ideological foundations of Communism, the laws the United States has available to defend against it, and the forms it has taken across world governments. This paper turns to the operational present — not the theoretical threat of Communism, but its living, funded, bureaucratically organized intrusion into American institutions right now, conducted by the world's most powerful Communist government: the People's Republic of China under the Chinese Communist Party (CCP).</w:t>
      </w:r>
    </w:p>
    <w:p>
      <w:pPr>
        <w:spacing w:after="160" w:before="0" w:line="360"/>
        <w:ind w:firstLine="720"/>
        <w:jc w:val="both"/>
      </w:pPr>
      <w:r>
        <w:rPr>
          <w:rFonts w:ascii="Times New Roman" w:cs="Times New Roman" w:eastAsia="Times New Roman" w:hAnsi="Times New Roman"/>
          <w:sz w:val="24"/>
          <w:szCs w:val="24"/>
        </w:rPr>
        <w:t xml:space="preserve">A critical distinction must be made at the outset, and this paper will honor it throughout: the threat described here is not Chinese people. The Chinese-American community — more than 5.4 million people whose families built railroads, fought in American wars, and contributed to every field of American life — is not the subject of this analysis, and in many cases is itself a primary target of CCP intimidation and coercion. The threat is the Chinese Communist Party, a political apparatus that claims to represent the Chinese people while systematically surveilling, pressuring, and persecuting them at home and abroad (Wray, 2022). The distinction is not semantic. It is constitutional, moral, and essential.</w:t>
      </w:r>
    </w:p>
    <w:p>
      <w:pPr>
        <w:spacing w:after="160" w:before="0" w:line="360"/>
        <w:ind w:firstLine="720"/>
        <w:jc w:val="both"/>
      </w:pPr>
      <w:r>
        <w:rPr>
          <w:rFonts w:ascii="Times New Roman" w:cs="Times New Roman" w:eastAsia="Times New Roman" w:hAnsi="Times New Roman"/>
          <w:sz w:val="24"/>
          <w:szCs w:val="24"/>
        </w:rPr>
        <w:t xml:space="preserve">With that distinction firmly established: the CCP's operations on American soil are not speculative. They are documented in federal indictments, congressional testimony, declassified intelligence assessments, and the published work of academic researchers who have studied CCP influence methodology for decades. The primary instrument of those operations is an organ most Americans have never heard of: the United Front Work Department.</w:t>
      </w:r>
    </w:p>
    <w:p>
      <w:pPr>
        <w:pStyle w:val="Heading1"/>
        <w:pageBreakBefore/>
        <w:spacing w:after="200" w:before="480"/>
      </w:pPr>
      <w:r>
        <w:rPr>
          <w:rFonts w:ascii="Times New Roman" w:cs="Times New Roman" w:eastAsia="Times New Roman" w:hAnsi="Times New Roman"/>
          <w:b/>
          <w:bCs/>
          <w:color w:val="1F3864"/>
          <w:sz w:val="32"/>
          <w:szCs w:val="32"/>
        </w:rPr>
        <w:t xml:space="preserve">I. The United Front Work Department: Architecture of Influence</w:t>
      </w:r>
    </w:p>
    <w:p>
      <w:pPr>
        <w:pStyle w:val="Heading2"/>
        <w:spacing w:after="160" w:before="360"/>
      </w:pPr>
      <w:r>
        <w:rPr>
          <w:rFonts w:ascii="Times New Roman" w:cs="Times New Roman" w:eastAsia="Times New Roman" w:hAnsi="Times New Roman"/>
          <w:b/>
          <w:bCs/>
          <w:color w:val="8B0000"/>
          <w:sz w:val="28"/>
          <w:szCs w:val="28"/>
        </w:rPr>
        <w:t xml:space="preserve">What the UFWD Is</w:t>
      </w:r>
    </w:p>
    <w:p>
      <w:pPr>
        <w:spacing w:after="160" w:before="0" w:line="360"/>
        <w:ind w:firstLine="720"/>
        <w:jc w:val="both"/>
      </w:pPr>
      <w:r>
        <w:rPr>
          <w:rFonts w:ascii="Times New Roman" w:cs="Times New Roman" w:eastAsia="Times New Roman" w:hAnsi="Times New Roman"/>
          <w:sz w:val="24"/>
          <w:szCs w:val="24"/>
        </w:rPr>
        <w:t xml:space="preserve">The United Front Work Department (统一战线工作部, Tǒngyī Zhànxiàn Gōngzuò Bù) is a department of the Chinese Communist Party — not of the Chinese government, but of the Party itself. This distinction matters. The UFWD reports directly to the CCP Central Committee and the Politburo Standing Committee, not to the State Council or any governmental ministry. It was founded by Mao Zedong in 1942 as a tool for managing non-Party constituencies and has been substantially expanded and professionalized under General Secretary Xi Jinping (Brady, 2017).</w:t>
      </w:r>
    </w:p>
    <w:p>
      <w:pPr>
        <w:spacing w:after="160" w:before="0" w:line="360"/>
        <w:ind w:firstLine="720"/>
        <w:jc w:val="both"/>
      </w:pPr>
      <w:r>
        <w:rPr>
          <w:rFonts w:ascii="Times New Roman" w:cs="Times New Roman" w:eastAsia="Times New Roman" w:hAnsi="Times New Roman"/>
          <w:sz w:val="24"/>
          <w:szCs w:val="24"/>
        </w:rPr>
        <w:t xml:space="preserve">The UFWD's official mandate is to "unite all forces that can be united" behind the CCP's political objectives. In practice, this means identifying, cultivating, and mobilizing non-Party actors — overseas Chinese communities, ethnic minorities, religious organizations, businesspeople, academics, and politicians — to advance CCP interests. Unlike the Ministry of State Security (MSS), which conducts espionage and covert intelligence operations, or the People's Liberation Army (PLA), which conducts military operations including cyber intrusions, the UFWD's primary method is influence rather than collection. It shapes narratives, builds relationships, creates dependency, and silences dissent (Joske, 2020).</w:t>
      </w:r>
    </w:p>
    <w:p>
      <w:pPr>
        <w:shd w:fill="E8F0FE" w:color="auto" w:val="clear"/>
        <w:spacing w:after="200" w:before="200" w:line="360"/>
        <w:ind w:left="720" w:right="720"/>
        <w:jc w:val="both"/>
      </w:pPr>
      <w:r>
        <w:rPr>
          <w:rFonts w:ascii="Times New Roman" w:cs="Times New Roman" w:eastAsia="Times New Roman" w:hAnsi="Times New Roman"/>
          <w:i/>
          <w:iCs/>
          <w:sz w:val="24"/>
          <w:szCs w:val="24"/>
        </w:rPr>
        <w:t xml:space="preserve">FBI Director Christopher Wray told the Senate Intelligence Committee in 2022: "The Chinese government is conducting a whole-of-society effort to steal our innovation, our technology, our ideas, our research... We're opening a new China-related counterintelligence case every 12 hours." The UFWD is the political-influence arm of that whole-of-society effort (Wray, 2022).</w:t>
      </w:r>
    </w:p>
    <w:p>
      <w:pPr>
        <w:pStyle w:val="Heading2"/>
        <w:spacing w:after="160" w:before="360"/>
      </w:pPr>
      <w:r>
        <w:rPr>
          <w:rFonts w:ascii="Times New Roman" w:cs="Times New Roman" w:eastAsia="Times New Roman" w:hAnsi="Times New Roman"/>
          <w:b/>
          <w:bCs/>
          <w:color w:val="8B0000"/>
          <w:sz w:val="28"/>
          <w:szCs w:val="28"/>
        </w:rPr>
        <w:t xml:space="preserve">UFWD vs. MSS vs. PLA: Knowing the Difference</w:t>
      </w:r>
    </w:p>
    <w:p>
      <w:pPr>
        <w:spacing w:after="160" w:before="0" w:line="360"/>
        <w:ind w:firstLine="720"/>
        <w:jc w:val="both"/>
      </w:pPr>
      <w:r>
        <w:rPr>
          <w:rFonts w:ascii="Times New Roman" w:cs="Times New Roman" w:eastAsia="Times New Roman" w:hAnsi="Times New Roman"/>
          <w:sz w:val="24"/>
          <w:szCs w:val="24"/>
        </w:rPr>
        <w:t xml:space="preserve">Precision matters in discussing CCP influence operations, because conflating the three primary organs produces both analytical confusion and legal problems when prosecuting cases. The UFWD conducts overt and covert influence operations targeting diaspora communities, political figures, and academic institutions. The MSS — China's combined CIA/FBI equivalent — conducts human intelligence collection, recruits spies, and runs covert operations. The PLA's Strategic Support Force (SSF) conducts cyber intrusions, signals intelligence, and military technology theft. These three organs sometimes operate in parallel on the same target; they sometimes hand off cases between them; but they are organizationally distinct and their activities engage different US statutes (Mattis &amp; Brazil, 2019).</w:t>
      </w:r>
    </w:p>
    <w:p>
      <w:pPr>
        <w:pStyle w:val="Heading1"/>
        <w:pageBreakBefore/>
        <w:spacing w:after="200" w:before="480"/>
      </w:pPr>
      <w:r>
        <w:rPr>
          <w:rFonts w:ascii="Times New Roman" w:cs="Times New Roman" w:eastAsia="Times New Roman" w:hAnsi="Times New Roman"/>
          <w:b/>
          <w:bCs/>
          <w:color w:val="1F3864"/>
          <w:sz w:val="32"/>
          <w:szCs w:val="32"/>
        </w:rPr>
        <w:t xml:space="preserve">II. UFWD Operations on American Soil</w:t>
      </w:r>
    </w:p>
    <w:p>
      <w:pPr>
        <w:spacing w:after="160" w:before="0" w:line="360"/>
        <w:ind w:firstLine="720"/>
        <w:jc w:val="both"/>
      </w:pPr>
      <w:r>
        <w:rPr>
          <w:rFonts w:ascii="Times New Roman" w:cs="Times New Roman" w:eastAsia="Times New Roman" w:hAnsi="Times New Roman"/>
          <w:sz w:val="24"/>
          <w:szCs w:val="24"/>
        </w:rPr>
        <w:t xml:space="preserve">The UFWD does not operate through a single channel. It maintains a diversified portfolio of influence operations targeting distinct sectors of American society. The following categories represent the most documented and consequential of these operations.</w:t>
      </w:r>
    </w:p>
    <w:p>
      <w:pPr>
        <w:pStyle w:val="Heading2"/>
        <w:spacing w:after="160" w:before="360"/>
      </w:pPr>
      <w:r>
        <w:rPr>
          <w:rFonts w:ascii="Times New Roman" w:cs="Times New Roman" w:eastAsia="Times New Roman" w:hAnsi="Times New Roman"/>
          <w:b/>
          <w:bCs/>
          <w:color w:val="8B0000"/>
          <w:sz w:val="28"/>
          <w:szCs w:val="28"/>
        </w:rPr>
        <w:t xml:space="preserve">1. Academic Infiltration: Thousand Talents and Confucius Institutes</w:t>
      </w:r>
    </w:p>
    <w:p>
      <w:pPr>
        <w:spacing w:after="160" w:before="0" w:line="360"/>
        <w:ind w:firstLine="720"/>
        <w:jc w:val="both"/>
      </w:pPr>
      <w:r>
        <w:rPr>
          <w:rFonts w:ascii="Times New Roman" w:cs="Times New Roman" w:eastAsia="Times New Roman" w:hAnsi="Times New Roman"/>
          <w:sz w:val="24"/>
          <w:szCs w:val="24"/>
        </w:rPr>
        <w:t xml:space="preserve">The Thousand Talents Program (千人计划), launched in 2008, was designed to recruit overseas scientists and researchers to transfer knowledge and technology to China, typically while they maintained their positions — and funding — at American universities and research institutions. Participants signed contracts with Chinese universities or government entities, received substantial compensation from Chinese government sources, and agreed to conduct research on China's behalf, frequently without disclosing these arrangements to their US employers or the federal funding agencies supporting their work. The Senate Permanent Subcommittee on Investigations documented over 500 Thousand Talents participants at US research institutions (Senate PSI, 2019).</w:t>
      </w:r>
    </w:p>
    <w:p>
      <w:pPr>
        <w:spacing w:after="160" w:before="0" w:line="360"/>
        <w:ind w:firstLine="720"/>
        <w:jc w:val="both"/>
      </w:pPr>
      <w:r>
        <w:rPr>
          <w:rFonts w:ascii="Times New Roman" w:cs="Times New Roman" w:eastAsia="Times New Roman" w:hAnsi="Times New Roman"/>
          <w:sz w:val="24"/>
          <w:szCs w:val="24"/>
        </w:rPr>
        <w:t xml:space="preserve">Confucius Institutes — Chinese government-funded cultural and language centers operated on American university campuses through agreements between the CCP's Hanban office (now the Chinese International Chinese Education Foundation) and host universities — represented a separate but complementary UFWD vector. The Senate PSI's 2019 investigation found that Confucius Institute agreements routinely gave the Chinese government authority over programming, limited the academic freedom of host institutions, and provided cover for intelligence-gathering activities. By 2020, more than 100 American universities had closed their Confucius Institutes following congressional scrutiny; over 1,000 institutions worldwide hosted them at peak (National Association of Scholars, 2020).</w:t>
      </w:r>
    </w:p>
    <w:p>
      <w:pPr>
        <w:pStyle w:val="Heading2"/>
        <w:spacing w:after="160" w:before="360"/>
      </w:pPr>
      <w:r>
        <w:rPr>
          <w:rFonts w:ascii="Times New Roman" w:cs="Times New Roman" w:eastAsia="Times New Roman" w:hAnsi="Times New Roman"/>
          <w:b/>
          <w:bCs/>
          <w:color w:val="8B0000"/>
          <w:sz w:val="28"/>
          <w:szCs w:val="28"/>
        </w:rPr>
        <w:t xml:space="preserve">2. Chinese Student and Scholar Associations</w:t>
      </w:r>
    </w:p>
    <w:p>
      <w:pPr>
        <w:spacing w:after="160" w:before="0" w:line="360"/>
        <w:ind w:firstLine="720"/>
        <w:jc w:val="both"/>
      </w:pPr>
      <w:r>
        <w:rPr>
          <w:rFonts w:ascii="Times New Roman" w:cs="Times New Roman" w:eastAsia="Times New Roman" w:hAnsi="Times New Roman"/>
          <w:sz w:val="24"/>
          <w:szCs w:val="24"/>
        </w:rPr>
        <w:t xml:space="preserve">Chinese Student and Scholar Associations (CSSAs), present on virtually every major American research university campus, occupy a complex dual role. Most serve genuine community functions for Chinese students studying abroad. However, the UFWD has systematically cultivated CSSA leadership as reporting networks and influence vectors. CSSA chapters receive funding and guidance from Chinese consulates, report on the activities and political views of Chinese students, and have been documented mobilizing to counter campus events featuring Taiwanese officials, Tibetan speakers, or Uyghur advocates (Joske, 2020; Senate Judiciary Committee, 2022).</w:t>
      </w:r>
    </w:p>
    <w:p>
      <w:pPr>
        <w:spacing w:after="160" w:before="0" w:line="360"/>
        <w:ind w:firstLine="720"/>
        <w:jc w:val="both"/>
      </w:pPr>
      <w:r>
        <w:rPr>
          <w:rFonts w:ascii="Times New Roman" w:cs="Times New Roman" w:eastAsia="Times New Roman" w:hAnsi="Times New Roman"/>
          <w:sz w:val="24"/>
          <w:szCs w:val="24"/>
        </w:rPr>
        <w:t xml:space="preserve">The FBI has warned university administrators that CSSA chapters in some institutions have been used to identify students with sensitive research access, facilitate technology transfer, and report on Chinese students who express political views contrary to CCP positions — a surveillance function that operates on US soil against people protected by the First and Fourth Amendments (Federal Bureau of Investigation, 2020).</w:t>
      </w:r>
    </w:p>
    <w:p>
      <w:pPr>
        <w:pStyle w:val="Heading2"/>
        <w:spacing w:after="160" w:before="360"/>
      </w:pPr>
      <w:r>
        <w:rPr>
          <w:rFonts w:ascii="Times New Roman" w:cs="Times New Roman" w:eastAsia="Times New Roman" w:hAnsi="Times New Roman"/>
          <w:b/>
          <w:bCs/>
          <w:color w:val="8B0000"/>
          <w:sz w:val="28"/>
          <w:szCs w:val="28"/>
        </w:rPr>
        <w:t xml:space="preserve">3. Elite Capture: Politicians, Executives, and Former Officials</w:t>
      </w:r>
    </w:p>
    <w:p>
      <w:pPr>
        <w:spacing w:after="160" w:before="0" w:line="360"/>
        <w:ind w:firstLine="720"/>
        <w:jc w:val="both"/>
      </w:pPr>
      <w:r>
        <w:rPr>
          <w:rFonts w:ascii="Times New Roman" w:cs="Times New Roman" w:eastAsia="Times New Roman" w:hAnsi="Times New Roman"/>
          <w:sz w:val="24"/>
          <w:szCs w:val="24"/>
        </w:rPr>
        <w:t xml:space="preserve">"Elite capture" is the UFWD's term for cultivating relationships with high-value political and economic figures that can be leveraged for policy influence, business intelligence, or propaganda purposes. The methodology is documented in CCP internal documents and academic literature: identify targets, build relationships through business deals, speaking fees, academic fellowships, or trade delegations, create economic or reputational dependency, and then activate the relationship when needed (Joske, 2020).</w:t>
      </w:r>
    </w:p>
    <w:p>
      <w:pPr>
        <w:spacing w:after="160" w:before="0" w:line="360"/>
        <w:ind w:firstLine="720"/>
        <w:jc w:val="both"/>
      </w:pPr>
      <w:r>
        <w:rPr>
          <w:rFonts w:ascii="Times New Roman" w:cs="Times New Roman" w:eastAsia="Times New Roman" w:hAnsi="Times New Roman"/>
          <w:sz w:val="24"/>
          <w:szCs w:val="24"/>
        </w:rPr>
        <w:t xml:space="preserve">The most publicly documented US case involves Christine Fang, known as "Fang Fang," a suspected MSS/UFWD operative who from approximately 2011 to 2015 developed extensive social and political relationships with Bay Area elected officials, including then-Congressman Eric Swalwell of California's 15th District, who serves on the House Intelligence Committee. Fang raised funds for Swalwell's 2014 campaign and placed an intern in his congressional office before leaving the US abruptly in 2015 after a federal counterintelligence investigation opened. No charges were filed against Swalwell; Fang's legal exposure as a foreign national who left US jurisdiction rendered prosecution effectively moot. The case was documented in an Axios investigation in 2020 (Swan et al., 2020).</w:t>
      </w:r>
    </w:p>
    <w:p>
      <w:pPr>
        <w:pStyle w:val="Heading2"/>
        <w:spacing w:after="160" w:before="360"/>
      </w:pPr>
      <w:r>
        <w:rPr>
          <w:rFonts w:ascii="Times New Roman" w:cs="Times New Roman" w:eastAsia="Times New Roman" w:hAnsi="Times New Roman"/>
          <w:b/>
          <w:bCs/>
          <w:color w:val="8B0000"/>
          <w:sz w:val="28"/>
          <w:szCs w:val="28"/>
        </w:rPr>
        <w:t xml:space="preserve">4. Covert Police Stations: "110 Overseas"</w:t>
      </w:r>
    </w:p>
    <w:p>
      <w:pPr>
        <w:spacing w:after="160" w:before="0" w:line="360"/>
        <w:ind w:firstLine="720"/>
        <w:jc w:val="both"/>
      </w:pPr>
      <w:r>
        <w:rPr>
          <w:rFonts w:ascii="Times New Roman" w:cs="Times New Roman" w:eastAsia="Times New Roman" w:hAnsi="Times New Roman"/>
          <w:sz w:val="24"/>
          <w:szCs w:val="24"/>
        </w:rPr>
        <w:t xml:space="preserve">In 2022, the Spanish human rights organization Safeguard Defenders documented the existence of what it called "110 Overseas" service stations — unauthorized CCP government offices operating in cities around the world, including New York City, to conduct covert law enforcement functions against Chinese nationals abroad. The name derives from China's emergency services number, the equivalent of 911. These stations, operating without any diplomatic or consular recognition, were used to monitor Chinese dissidents, pressure Chinese nationals into returning to China ("persuasion to return," a coercive repatriation practice), and harass family members of activists and critics (Safeguard Defenders, 2022).</w:t>
      </w:r>
    </w:p>
    <w:p>
      <w:pPr>
        <w:spacing w:after="160" w:before="0" w:line="360"/>
        <w:ind w:firstLine="720"/>
        <w:jc w:val="both"/>
      </w:pPr>
      <w:r>
        <w:rPr>
          <w:rFonts w:ascii="Times New Roman" w:cs="Times New Roman" w:eastAsia="Times New Roman" w:hAnsi="Times New Roman"/>
          <w:sz w:val="24"/>
          <w:szCs w:val="24"/>
        </w:rPr>
        <w:t xml:space="preserve">The FBI raided an alleged 110 Overseas station in Manhattan in April 2023. Two US citizens, Lu Jianwang and Chen Jinping, were charged with acting as illegal agents of the Chinese government in violation of 18 U.S.C. § 951. The indictment alleged they operated the station at the direction of the CCP's National Police Commission, targeted at least one political dissident running for US political office, and attempted to interfere with the individual's campaign (U.S. Department of Justice, 2023a).</w:t>
      </w:r>
    </w:p>
    <w:p>
      <w:pPr>
        <w:pStyle w:val="Heading2"/>
        <w:spacing w:after="160" w:before="360"/>
      </w:pPr>
      <w:r>
        <w:rPr>
          <w:rFonts w:ascii="Times New Roman" w:cs="Times New Roman" w:eastAsia="Times New Roman" w:hAnsi="Times New Roman"/>
          <w:b/>
          <w:bCs/>
          <w:color w:val="8B0000"/>
          <w:sz w:val="28"/>
          <w:szCs w:val="28"/>
        </w:rPr>
        <w:t xml:space="preserve">5. Diaspora Coercion and Transnational Repression</w:t>
      </w:r>
    </w:p>
    <w:p>
      <w:pPr>
        <w:spacing w:after="160" w:before="0" w:line="360"/>
        <w:ind w:firstLine="720"/>
        <w:jc w:val="both"/>
      </w:pPr>
      <w:r>
        <w:rPr>
          <w:rFonts w:ascii="Times New Roman" w:cs="Times New Roman" w:eastAsia="Times New Roman" w:hAnsi="Times New Roman"/>
          <w:sz w:val="24"/>
          <w:szCs w:val="24"/>
        </w:rPr>
        <w:t xml:space="preserve">Operation Fox Hunt and its successor, Operation Skynet, are CCP programs that deploy covert agents to foreign countries — including the United States — to locate Chinese nationals the CCP wants repatriated, whether for prosecution or "persuasion." Methods documented in federal prosecutions include surveilling targets, threatening family members still in China, delivering ultimatums through intermediaries, and in some cases physically accompanying targets onto aircraft back to China. The FBI has classified these operations as "transnational repression" — a term defined as a foreign government using extra-judicial methods to control its diaspora population abroad (Federal Bureau of Investigation, 2020).</w:t>
      </w:r>
    </w:p>
    <w:p>
      <w:pPr>
        <w:pStyle w:val="Heading2"/>
        <w:spacing w:after="160" w:before="360"/>
      </w:pPr>
      <w:r>
        <w:rPr>
          <w:rFonts w:ascii="Times New Roman" w:cs="Times New Roman" w:eastAsia="Times New Roman" w:hAnsi="Times New Roman"/>
          <w:b/>
          <w:bCs/>
          <w:color w:val="8B0000"/>
          <w:sz w:val="28"/>
          <w:szCs w:val="28"/>
        </w:rPr>
        <w:t xml:space="preserve">6. CCP-Linked Media and Information Operations</w:t>
      </w:r>
    </w:p>
    <w:p>
      <w:pPr>
        <w:spacing w:after="160" w:before="0" w:line="360"/>
        <w:ind w:firstLine="720"/>
        <w:jc w:val="both"/>
      </w:pPr>
      <w:r>
        <w:rPr>
          <w:rFonts w:ascii="Times New Roman" w:cs="Times New Roman" w:eastAsia="Times New Roman" w:hAnsi="Times New Roman"/>
          <w:sz w:val="24"/>
          <w:szCs w:val="24"/>
        </w:rPr>
        <w:t xml:space="preserve">The CCP maintains extensive influence over Chinese-language media in the United States through ownership, advertising dependency, and direct content agreements. China Daily, a state-owned newspaper, distributes paid content supplements through major US newspapers and is registered as a foreign principal under FARA. Xinhua News Agency and CGTN (China Global Television Network) similarly operate in the US as registered foreign missions. However, the broader ecosystem of CCP media influence — particularly in WeChat-based information networks reaching millions of overseas Chinese — operates largely outside FARA's disclosure framework (Global Engagement Center, 2023).</w:t>
      </w:r>
    </w:p>
    <w:p>
      <w:pPr>
        <w:spacing w:after="160" w:before="0" w:line="360"/>
        <w:ind w:firstLine="720"/>
        <w:jc w:val="both"/>
      </w:pPr>
      <w:r>
        <w:rPr>
          <w:rFonts w:ascii="Times New Roman" w:cs="Times New Roman" w:eastAsia="Times New Roman" w:hAnsi="Times New Roman"/>
          <w:sz w:val="24"/>
          <w:szCs w:val="24"/>
        </w:rPr>
        <w:t xml:space="preserve">WeChat, owned by Tencent and subject to CCP data access requirements under China's National Security Law, functions simultaneously as a communication platform, a surveillance tool, and a censorship mechanism for overseas Chinese users. Content critical of the CCP is algorithmically suppressed or actively removed. Users who post politically sensitive content risk having their accounts reported to Chinese authorities, with consequences for family members in China. For the millions of Chinese-Americans who use WeChat to communicate with family, this creates a persistent self-censorship dynamic on American soil (Molly Roberts, 2018).</w:t>
      </w:r>
    </w:p>
    <w:p>
      <w:pPr>
        <w:pStyle w:val="Heading1"/>
        <w:pageBreakBefore/>
        <w:spacing w:after="200" w:before="480"/>
      </w:pPr>
      <w:r>
        <w:rPr>
          <w:rFonts w:ascii="Times New Roman" w:cs="Times New Roman" w:eastAsia="Times New Roman" w:hAnsi="Times New Roman"/>
          <w:b/>
          <w:bCs/>
          <w:color w:val="1F3864"/>
          <w:sz w:val="32"/>
          <w:szCs w:val="32"/>
        </w:rPr>
        <w:t xml:space="preserve">III. The Prosecutions: Who Got Caught and How</w:t>
      </w:r>
    </w:p>
    <w:p>
      <w:pPr>
        <w:spacing w:after="160" w:before="0" w:line="360"/>
        <w:ind w:firstLine="720"/>
        <w:jc w:val="both"/>
      </w:pPr>
      <w:r>
        <w:rPr>
          <w:rFonts w:ascii="Times New Roman" w:cs="Times New Roman" w:eastAsia="Times New Roman" w:hAnsi="Times New Roman"/>
          <w:sz w:val="24"/>
          <w:szCs w:val="24"/>
        </w:rPr>
        <w:t xml:space="preserve">The following case studies represent a cross-section of successful federal prosecutions arising from CCP influence and espionage operations in the United States. Each case is drawn from public court records, DOJ press releases, and reporting based on unclassified materials.</w:t>
      </w:r>
    </w:p>
    <w:p>
      <w:pPr>
        <w:pBdr>
          <w:left w:val="thick" w:color="003366" w:sz="12"/>
        </w:pBdr>
        <w:shd w:fill="EEF3FB" w:color="auto" w:val="clear"/>
        <w:spacing w:after="100" w:before="280"/>
        <w:ind w:left="360" w:right="360"/>
      </w:pPr>
      <w:r>
        <w:rPr>
          <w:rFonts w:ascii="Times New Roman" w:cs="Times New Roman" w:eastAsia="Times New Roman" w:hAnsi="Times New Roman"/>
          <w:b/>
          <w:bCs/>
          <w:color w:val="003366"/>
          <w:sz w:val="26"/>
          <w:szCs w:val="26"/>
        </w:rPr>
        <w:t xml:space="preserve">United States v. Charles Lieber (D. Mass., 2021)</w:t>
      </w:r>
      <w:r>
        <w:rPr>
          <w:rFonts w:ascii="Times New Roman" w:cs="Times New Roman" w:eastAsia="Times New Roman" w:hAnsi="Times New Roman"/>
          <w:i/>
          <w:iCs/>
          <w:color w:val="555555"/>
          <w:sz w:val="24"/>
          <w:szCs w:val="24"/>
        </w:rPr>
        <w:t xml:space="preserve">  |  Convicted — 6 counts</w:t>
      </w:r>
    </w:p>
    <w:p>
      <w:pPr>
        <w:shd w:fill="EEF3FB" w:color="auto" w:val="clear"/>
        <w:spacing w:after="160" w:line="360"/>
        <w:ind w:left="360" w:right="360"/>
        <w:jc w:val="both"/>
      </w:pPr>
      <w:r>
        <w:rPr>
          <w:rFonts w:ascii="Times New Roman" w:cs="Times New Roman" w:eastAsia="Times New Roman" w:hAnsi="Times New Roman"/>
          <w:sz w:val="24"/>
          <w:szCs w:val="24"/>
        </w:rPr>
        <w:t xml:space="preserve">Charles Lieber, Chair of Harvard University's Department of Chemistry and Chemical Biology, was convicted in December 2021 on charges of making false statements to federal investigators and failing to file required financial disclosures about his participation in the Thousand Talents Program. Lieber had signed a contract with Wuhan University of Technology in 2011 that paid him approximately $50,000 per month plus $158,000 per year in living expenses — in addition to his Harvard salary — while he concealed these payments from Harvard, the Department of Defense, and the National Institutes of Health, which funded his research with more than $15 million in grants. The charges did not allege that he transferred classified information — the prosecution rested on concealment and false statements, a deliberate charging strategy that simplified the evidentiary burden. Lieber was sentenced in April 2023 (U.S. Department of Justice, 2021a).</w:t>
      </w:r>
    </w:p>
    <w:p>
      <w:pPr>
        <w:pBdr>
          <w:left w:val="thick" w:color="003366" w:sz="12"/>
        </w:pBdr>
        <w:shd w:fill="EEF3FB" w:color="auto" w:val="clear"/>
        <w:spacing w:after="100" w:before="280"/>
        <w:ind w:left="360" w:right="360"/>
      </w:pPr>
      <w:r>
        <w:rPr>
          <w:rFonts w:ascii="Times New Roman" w:cs="Times New Roman" w:eastAsia="Times New Roman" w:hAnsi="Times New Roman"/>
          <w:b/>
          <w:bCs/>
          <w:color w:val="003366"/>
          <w:sz w:val="26"/>
          <w:szCs w:val="26"/>
        </w:rPr>
        <w:t xml:space="preserve">United States v. Yanjun Xu (S.D. Ohio, 2021)</w:t>
      </w:r>
      <w:r>
        <w:rPr>
          <w:rFonts w:ascii="Times New Roman" w:cs="Times New Roman" w:eastAsia="Times New Roman" w:hAnsi="Times New Roman"/>
          <w:i/>
          <w:iCs/>
          <w:color w:val="555555"/>
          <w:sz w:val="24"/>
          <w:szCs w:val="24"/>
        </w:rPr>
        <w:t xml:space="preserve">  |  Convicted — first MSS officer extradited and convicted in US history</w:t>
      </w:r>
    </w:p>
    <w:p>
      <w:pPr>
        <w:shd w:fill="EEF3FB" w:color="auto" w:val="clear"/>
        <w:spacing w:after="160" w:line="360"/>
        <w:ind w:left="360" w:right="360"/>
        <w:jc w:val="both"/>
      </w:pPr>
      <w:r>
        <w:rPr>
          <w:rFonts w:ascii="Times New Roman" w:cs="Times New Roman" w:eastAsia="Times New Roman" w:hAnsi="Times New Roman"/>
          <w:sz w:val="24"/>
          <w:szCs w:val="24"/>
        </w:rPr>
        <w:t xml:space="preserve">Yanjun Xu was a Deputy Division Director of the MSS's Sixth Bureau — a senior Chinese intelligence officer. He was arrested in Belgium in 2018 at the request of US authorities and extradited — a significant diplomatic and legal achievement, as China does not have an extradition treaty with the United States, and no MSS officer had previously been extradited to face US prosecution. Xu had targeted engineers at GE Aviation and other aerospace companies, using the cover of an academic conference to recruit insiders who would provide technical documents on advanced turbofan engine technology. He was convicted in November 2021 under the Economic Espionage Act and the Espionage Act and sentenced to 20 years in federal prison (U.S. Department of Justice, 2021b).</w:t>
      </w:r>
    </w:p>
    <w:p>
      <w:pPr>
        <w:pBdr>
          <w:left w:val="thick" w:color="003366" w:sz="12"/>
        </w:pBdr>
        <w:shd w:fill="EEF3FB" w:color="auto" w:val="clear"/>
        <w:spacing w:after="100" w:before="280"/>
        <w:ind w:left="360" w:right="360"/>
      </w:pPr>
      <w:r>
        <w:rPr>
          <w:rFonts w:ascii="Times New Roman" w:cs="Times New Roman" w:eastAsia="Times New Roman" w:hAnsi="Times New Roman"/>
          <w:b/>
          <w:bCs/>
          <w:color w:val="003366"/>
          <w:sz w:val="26"/>
          <w:szCs w:val="26"/>
        </w:rPr>
        <w:t xml:space="preserve">United States v. Baimadajie Angwang (E.D.N.Y., 2020)</w:t>
      </w:r>
      <w:r>
        <w:rPr>
          <w:rFonts w:ascii="Times New Roman" w:cs="Times New Roman" w:eastAsia="Times New Roman" w:hAnsi="Times New Roman"/>
          <w:i/>
          <w:iCs/>
          <w:color w:val="555555"/>
          <w:sz w:val="24"/>
          <w:szCs w:val="24"/>
        </w:rPr>
        <w:t xml:space="preserve">  |  Charged — 18 U.S.C. § 951</w:t>
      </w:r>
    </w:p>
    <w:p>
      <w:pPr>
        <w:shd w:fill="EEF3FB" w:color="auto" w:val="clear"/>
        <w:spacing w:after="160" w:line="360"/>
        <w:ind w:left="360" w:right="360"/>
        <w:jc w:val="both"/>
      </w:pPr>
      <w:r>
        <w:rPr>
          <w:rFonts w:ascii="Times New Roman" w:cs="Times New Roman" w:eastAsia="Times New Roman" w:hAnsi="Times New Roman"/>
          <w:sz w:val="24"/>
          <w:szCs w:val="24"/>
        </w:rPr>
        <w:t xml:space="preserve">Baimadajie Angwang was a New York Police Department officer and US Army Reserve soldier who was charged in 2020 with acting as an illegal agent of the Chinese government under 18 U.S.C. § 951. The indictment alleged that Angwang, a Tibetan-American, reported to the Chinese Consulate in New York City on the activities of Tibetan-American community members and sought to identify and recruit informants within the Tibetan diaspora on behalf of Chinese government handlers. The case illustrates the UFWD's targeting of ethnic minority diaspora communities and the willingness to recruit individuals holding US law enforcement and military positions as covert assets (U.S. Department of Justice, 2020).</w:t>
      </w:r>
    </w:p>
    <w:p>
      <w:pPr>
        <w:pBdr>
          <w:left w:val="thick" w:color="003366" w:sz="12"/>
        </w:pBdr>
        <w:shd w:fill="EEF3FB" w:color="auto" w:val="clear"/>
        <w:spacing w:after="100" w:before="280"/>
        <w:ind w:left="360" w:right="360"/>
      </w:pPr>
      <w:r>
        <w:rPr>
          <w:rFonts w:ascii="Times New Roman" w:cs="Times New Roman" w:eastAsia="Times New Roman" w:hAnsi="Times New Roman"/>
          <w:b/>
          <w:bCs/>
          <w:color w:val="003366"/>
          <w:sz w:val="26"/>
          <w:szCs w:val="26"/>
        </w:rPr>
        <w:t xml:space="preserve">Operation Fox Hunt: United States v. Michael McMahon et al. (D.N.J., 2022)</w:t>
      </w:r>
      <w:r>
        <w:rPr>
          <w:rFonts w:ascii="Times New Roman" w:cs="Times New Roman" w:eastAsia="Times New Roman" w:hAnsi="Times New Roman"/>
          <w:i/>
          <w:iCs/>
          <w:color w:val="555555"/>
          <w:sz w:val="24"/>
          <w:szCs w:val="24"/>
        </w:rPr>
        <w:t xml:space="preserve">  |  Convicted</w:t>
      </w:r>
    </w:p>
    <w:p>
      <w:pPr>
        <w:shd w:fill="EEF3FB" w:color="auto" w:val="clear"/>
        <w:spacing w:after="160" w:line="360"/>
        <w:ind w:left="360" w:right="360"/>
        <w:jc w:val="both"/>
      </w:pPr>
      <w:r>
        <w:rPr>
          <w:rFonts w:ascii="Times New Roman" w:cs="Times New Roman" w:eastAsia="Times New Roman" w:hAnsi="Times New Roman"/>
          <w:sz w:val="24"/>
          <w:szCs w:val="24"/>
        </w:rPr>
        <w:t xml:space="preserve">Michael McMahon, a former New York City police detective, and two others were convicted in 2022 for conducting covert surveillance and harassment of a Chinese-American political activist at the direction of Chinese government officials, as part of an Operation Fox Hunt effort to force the individual to return to China. McMahon and his co-defendants conducted physical surveillance, gathered personal information about the target and the target's family, and delivered the information to Chinese officials — all without registering as foreign agents. The case established that Fox Hunt-style operations could be prosecuted under § 951 even when the target had not committed any crime in China and the "persuasion" was directed at a US resident (U.S. Department of Justice, 2022).</w:t>
      </w:r>
    </w:p>
    <w:p>
      <w:pPr>
        <w:pBdr>
          <w:left w:val="thick" w:color="003366" w:sz="12"/>
        </w:pBdr>
        <w:shd w:fill="EEF3FB" w:color="auto" w:val="clear"/>
        <w:spacing w:after="100" w:before="280"/>
        <w:ind w:left="360" w:right="360"/>
      </w:pPr>
      <w:r>
        <w:rPr>
          <w:rFonts w:ascii="Times New Roman" w:cs="Times New Roman" w:eastAsia="Times New Roman" w:hAnsi="Times New Roman"/>
          <w:b/>
          <w:bCs/>
          <w:color w:val="003366"/>
          <w:sz w:val="26"/>
          <w:szCs w:val="26"/>
        </w:rPr>
        <w:t xml:space="preserve">United States v. Jin Tao Mak (C.D. Cal., 2007)</w:t>
      </w:r>
      <w:r>
        <w:rPr>
          <w:rFonts w:ascii="Times New Roman" w:cs="Times New Roman" w:eastAsia="Times New Roman" w:hAnsi="Times New Roman"/>
          <w:i/>
          <w:iCs/>
          <w:color w:val="555555"/>
          <w:sz w:val="24"/>
          <w:szCs w:val="24"/>
        </w:rPr>
        <w:t xml:space="preserve">  |  Convicted — 24.5 years</w:t>
      </w:r>
    </w:p>
    <w:p>
      <w:pPr>
        <w:shd w:fill="EEF3FB" w:color="auto" w:val="clear"/>
        <w:spacing w:after="160" w:line="360"/>
        <w:ind w:left="360" w:right="360"/>
        <w:jc w:val="both"/>
      </w:pPr>
      <w:r>
        <w:rPr>
          <w:rFonts w:ascii="Times New Roman" w:cs="Times New Roman" w:eastAsia="Times New Roman" w:hAnsi="Times New Roman"/>
          <w:sz w:val="24"/>
          <w:szCs w:val="24"/>
        </w:rPr>
        <w:t xml:space="preserve">Chi Mak and his brother Tai Mak, along with Chi Mak's wife and nephew, were convicted in a case that illustrated the long-term, patient character of MSS human intelligence operations. Chi Mak, a defense contractor engineer employed by Power Paragon, had spent over two decades as a sleeper agent, passing technical documents on US Navy quiet-drive propulsion systems, amplifiers, and power-conditioning systems to Chinese intelligence. The documents were destined for China's submarine program. Mak was convicted under the Espionage Act and received the longest sentence to that point — 24.5 years — for a non-violent espionage offense (U.S. Department of Justice, 2008).</w:t>
      </w:r>
    </w:p>
    <w:p>
      <w:pPr>
        <w:pStyle w:val="Heading1"/>
        <w:pageBreakBefore/>
        <w:spacing w:after="200" w:before="480"/>
      </w:pPr>
      <w:r>
        <w:rPr>
          <w:rFonts w:ascii="Times New Roman" w:cs="Times New Roman" w:eastAsia="Times New Roman" w:hAnsi="Times New Roman"/>
          <w:b/>
          <w:bCs/>
          <w:color w:val="1F3864"/>
          <w:sz w:val="32"/>
          <w:szCs w:val="32"/>
        </w:rPr>
        <w:t xml:space="preserve">IV. Why Prosecution Was Possible: The Legal Framework</w:t>
      </w:r>
    </w:p>
    <w:p>
      <w:pPr>
        <w:spacing w:after="160" w:before="0" w:line="360"/>
        <w:ind w:firstLine="720"/>
        <w:jc w:val="both"/>
      </w:pPr>
      <w:r>
        <w:rPr>
          <w:rFonts w:ascii="Times New Roman" w:cs="Times New Roman" w:eastAsia="Times New Roman" w:hAnsi="Times New Roman"/>
          <w:sz w:val="24"/>
          <w:szCs w:val="24"/>
        </w:rPr>
        <w:t xml:space="preserve">The prosecutions described above did not happen by accident. They became possible because Congress, over decades, built a layered legal framework specifically designed to reach foreign influence operations conducted on American soil — and because federal investigators and prosecutors developed the expertise to use that framework against a sophisticated state adversary. The table below summarizes the primary statutory vehicles.</w:t>
      </w:r>
    </w:p>
    <w:p>
      <w:pPr>
        <w:spacing w:after="20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shd w:fill="1F3864"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FFFFFF"/>
                <w:sz w:val="22"/>
                <w:szCs w:val="22"/>
              </w:rPr>
              <w:t xml:space="preserve">Statute / Authority</w:t>
            </w:r>
          </w:p>
        </w:tc>
        <w:tc>
          <w:tcPr>
            <w:shd w:fill="1F3864"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FFFFFF"/>
                <w:sz w:val="22"/>
                <w:szCs w:val="22"/>
              </w:rPr>
              <w:t xml:space="preserve">Prosecutorial Application in CCP Cases</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18 U.S.C. § 951</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Acting as an unregistered agent of a foreign government. Does not require proof of espionage — only that the defendant acted "at the direction or control" of a foreign government without notifying the Attorney General. Primary vehicle in NYPD Angwang and overseas police station cases.</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Economic Espionage Act
18 U.S.C. §§ 1831–1839</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Theft of trade secrets for the benefit of a foreign government or instrumentality. Section 1831 targets government-sponsored theft; § 1832 targets commercial theft. Used in Lieber (Thousand Talents concealment), Hana Akabari, and hundreds of technology transfer cases.</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Espionage Act
18 U.S.C. §§ 793–798</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Unauthorized collection, transmission, or retention of national defense information. Core statute in Yanjun Xu (MSS officer) and Jin Tao Mak (Navy machinist's mate) cases. Section 794 carries the death penalty for peacetime transmission to a foreign government.</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FARA
22 U.S.C. § 611 et seq.</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Foreign agents must register with the DOJ. Failure is a federal felony. Used to expose and prosecute CCP-linked media organizations, diaspora organization leaders, and political operatives who failed to disclose Chinese government principals.</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CIPA
18 U.S.C. App. III</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Classified Information Procedures Act (1980). Permits courts to use classified evidence without public disclosure, via substitutions, summaries, or in camera proceedings. Critical enabler: many CCP cases rest on intelligence that cannot be fully disclosed in open court.</w:t>
            </w:r>
          </w:p>
        </w:tc>
      </w:tr>
      <w:tr>
        <w:tc>
          <w:tcPr>
            <w:tcW w:type="dxa" w:w="2800"/>
            <w:shd w:fill="E8EEF7" w:color="auto" w:val="clear"/>
            <w:tcMar>
              <w:top w:type="dxa" w:w="80"/>
              <w:left w:type="dxa" w:w="120"/>
              <w:bottom w:type="dxa" w:w="80"/>
              <w:right w:type="dxa" w:w="120"/>
            </w:tcMar>
          </w:tcPr>
          <w:p>
            <w:pPr>
              <w:spacing w:after="60"/>
            </w:pPr>
            <w:r>
              <w:rPr>
                <w:rFonts w:ascii="Times New Roman" w:cs="Times New Roman" w:eastAsia="Times New Roman" w:hAnsi="Times New Roman"/>
                <w:b/>
                <w:bCs/>
                <w:color w:val="003366"/>
                <w:sz w:val="22"/>
                <w:szCs w:val="22"/>
              </w:rPr>
              <w:t xml:space="preserve">Computer Fraud and Abuse Act
18 U.S.C. § 1030</w:t>
            </w:r>
          </w:p>
        </w:tc>
        <w:tc>
          <w:tcPr>
            <w:tcW w:type="dxa" w:w="6200"/>
            <w:tcMar>
              <w:top w:type="dxa" w:w="80"/>
              <w:left w:type="dxa" w:w="120"/>
              <w:bottom w:type="dxa" w:w="80"/>
              <w:right w:type="dxa" w:w="120"/>
            </w:tcMar>
          </w:tcPr>
          <w:p>
            <w:pPr>
              <w:spacing w:after="60"/>
            </w:pPr>
            <w:r>
              <w:rPr>
                <w:rFonts w:ascii="Times New Roman" w:cs="Times New Roman" w:eastAsia="Times New Roman" w:hAnsi="Times New Roman"/>
                <w:sz w:val="22"/>
                <w:szCs w:val="22"/>
              </w:rPr>
              <w:t xml:space="preserve">Unauthorized access to computer systems. Used against MSS-linked hackers (APT41, APT10) for intrusions into US defense contractors, universities, and healthcare systems.</w:t>
            </w:r>
          </w:p>
        </w:tc>
      </w:tr>
    </w:tbl>
    <w:p>
      <w:pPr>
        <w:spacing w:after="200"/>
      </w:pPr>
      <w:r>
        <w:t xml:space="preserve"/>
      </w:r>
    </w:p>
    <w:p>
      <w:pPr>
        <w:pStyle w:val="Heading2"/>
        <w:spacing w:after="160" w:before="360"/>
      </w:pPr>
      <w:r>
        <w:rPr>
          <w:rFonts w:ascii="Times New Roman" w:cs="Times New Roman" w:eastAsia="Times New Roman" w:hAnsi="Times New Roman"/>
          <w:b/>
          <w:bCs/>
          <w:color w:val="8B0000"/>
          <w:sz w:val="28"/>
          <w:szCs w:val="28"/>
        </w:rPr>
        <w:t xml:space="preserve">The China Initiative</w:t>
      </w:r>
    </w:p>
    <w:p>
      <w:pPr>
        <w:spacing w:after="160" w:before="0" w:line="360"/>
        <w:ind w:firstLine="720"/>
        <w:jc w:val="both"/>
      </w:pPr>
      <w:r>
        <w:rPr>
          <w:rFonts w:ascii="Times New Roman" w:cs="Times New Roman" w:eastAsia="Times New Roman" w:hAnsi="Times New Roman"/>
          <w:sz w:val="24"/>
          <w:szCs w:val="24"/>
        </w:rPr>
        <w:t xml:space="preserve">In November 2018, the Department of Justice launched the China Initiative — a dedicated prosecutorial and investigative program specifically targeting Chinese economic espionage, theft of trade secrets, hacking, and covert influence operations. The Initiative directed FBI field offices to prioritize China-related counterintelligence cases, facilitated interagency information sharing, and produced a significant increase in the number of prosecutions related to Thousand Talents, FARA violations, and technology theft (U.S. Department of Justice, 2018).</w:t>
      </w:r>
    </w:p>
    <w:p>
      <w:pPr>
        <w:spacing w:after="160" w:before="0" w:line="360"/>
        <w:ind w:firstLine="720"/>
        <w:jc w:val="both"/>
      </w:pPr>
      <w:r>
        <w:rPr>
          <w:rFonts w:ascii="Times New Roman" w:cs="Times New Roman" w:eastAsia="Times New Roman" w:hAnsi="Times New Roman"/>
          <w:sz w:val="24"/>
          <w:szCs w:val="24"/>
        </w:rPr>
        <w:t xml:space="preserve">The China Initiative generated significant controversy by 2022, when civil liberties organizations and academic groups documented a pattern of prosecutions of Chinese and Chinese-American researchers that appeared to involve weak evidence and allegations that were ultimately dismissed or acquitted. An MIT analysis found that 90% of defendants charged under the Initiative were of Chinese origin, and numerous cases ended in acquittal or dismissal, raising concerns about racial profiling in case selection (Demirjian, 2022). The DOJ terminated the China Initiative by name in February 2022, replacing it with a broader "Strategy for Countering Nation-State Threats" that addresses Russia, Iran, and North Korea alongside China. The underlying legal authorities and investigative priorities remain in effect.</w:t>
      </w:r>
    </w:p>
    <w:p>
      <w:pPr>
        <w:pStyle w:val="Heading2"/>
        <w:spacing w:after="160" w:before="360"/>
      </w:pPr>
      <w:r>
        <w:rPr>
          <w:rFonts w:ascii="Times New Roman" w:cs="Times New Roman" w:eastAsia="Times New Roman" w:hAnsi="Times New Roman"/>
          <w:b/>
          <w:bCs/>
          <w:color w:val="8B0000"/>
          <w:sz w:val="28"/>
          <w:szCs w:val="28"/>
        </w:rPr>
        <w:t xml:space="preserve">The Role of CIPA in Enabling Prosecution</w:t>
      </w:r>
    </w:p>
    <w:p>
      <w:pPr>
        <w:spacing w:after="160" w:before="0" w:line="360"/>
        <w:ind w:firstLine="720"/>
        <w:jc w:val="both"/>
      </w:pPr>
      <w:r>
        <w:rPr>
          <w:rFonts w:ascii="Times New Roman" w:cs="Times New Roman" w:eastAsia="Times New Roman" w:hAnsi="Times New Roman"/>
          <w:sz w:val="24"/>
          <w:szCs w:val="24"/>
        </w:rPr>
        <w:t xml:space="preserve">Many CCP espionage cases involve intelligence gathered through classified means — signals intelligence, human source reporting, or court-authorized surveillance under the Foreign Intelligence Surveillance Act (FISA). The evidentiary challenge is that this material cannot be disclosed in open court without compromising sources and methods. The Classified Information Procedures Act (CIPA), enacted in 1980, resolves this tension by creating a pre-trial process through which the government and defense counsel — both operating under security clearances — can address the use of classified material, and the court can authorize substitutions, summaries, or other alternatives that preserve both the defendant's right to a fair trial and the government's legitimate security interests. Without CIPA, cases where the strongest evidence is classified would be effectively unprosecutable (Goldsmith, 2012).</w:t>
      </w:r>
    </w:p>
    <w:p>
      <w:pPr>
        <w:pStyle w:val="Heading1"/>
        <w:pageBreakBefore/>
        <w:spacing w:after="200" w:before="480"/>
      </w:pPr>
      <w:r>
        <w:rPr>
          <w:rFonts w:ascii="Times New Roman" w:cs="Times New Roman" w:eastAsia="Times New Roman" w:hAnsi="Times New Roman"/>
          <w:b/>
          <w:bCs/>
          <w:color w:val="1F3864"/>
          <w:sz w:val="32"/>
          <w:szCs w:val="32"/>
        </w:rPr>
        <w:t xml:space="preserve">V. The Challenges That Remain</w:t>
      </w:r>
    </w:p>
    <w:p>
      <w:pPr>
        <w:pStyle w:val="Heading2"/>
        <w:spacing w:after="160" w:before="360"/>
      </w:pPr>
      <w:r>
        <w:rPr>
          <w:rFonts w:ascii="Times New Roman" w:cs="Times New Roman" w:eastAsia="Times New Roman" w:hAnsi="Times New Roman"/>
          <w:b/>
          <w:bCs/>
          <w:color w:val="8B0000"/>
          <w:sz w:val="28"/>
          <w:szCs w:val="28"/>
        </w:rPr>
        <w:t xml:space="preserve">Jurisdictional Limits</w:t>
      </w:r>
    </w:p>
    <w:p>
      <w:pPr>
        <w:spacing w:after="160" w:before="0" w:line="360"/>
        <w:ind w:firstLine="720"/>
        <w:jc w:val="both"/>
      </w:pPr>
      <w:r>
        <w:rPr>
          <w:rFonts w:ascii="Times New Roman" w:cs="Times New Roman" w:eastAsia="Times New Roman" w:hAnsi="Times New Roman"/>
          <w:sz w:val="24"/>
          <w:szCs w:val="24"/>
        </w:rPr>
        <w:t xml:space="preserve">The most fundamental challenge is jurisdiction. MSS officers, UFWD operatives, and senior CCP officials who run these programs from Beijing are beyond the reach of US law enforcement unless they travel to a country with an extradition relationship with the United States — as Yanjun Xu did, fatally for his freedom, in Belgium. The US can and does issue indictments against named Chinese intelligence officers — multiple APT41 hackers have been indicted — but indictments without arrests are signaling tools, not punishments.</w:t>
      </w:r>
    </w:p>
    <w:p>
      <w:pPr>
        <w:pStyle w:val="Heading2"/>
        <w:spacing w:after="160" w:before="360"/>
      </w:pPr>
      <w:r>
        <w:rPr>
          <w:rFonts w:ascii="Times New Roman" w:cs="Times New Roman" w:eastAsia="Times New Roman" w:hAnsi="Times New Roman"/>
          <w:b/>
          <w:bCs/>
          <w:color w:val="8B0000"/>
          <w:sz w:val="28"/>
          <w:szCs w:val="28"/>
        </w:rPr>
        <w:t xml:space="preserve">The Influence-vs.-Espionage Line</w:t>
      </w:r>
    </w:p>
    <w:p>
      <w:pPr>
        <w:spacing w:after="160" w:before="0" w:line="360"/>
        <w:ind w:firstLine="720"/>
        <w:jc w:val="both"/>
      </w:pPr>
      <w:r>
        <w:rPr>
          <w:rFonts w:ascii="Times New Roman" w:cs="Times New Roman" w:eastAsia="Times New Roman" w:hAnsi="Times New Roman"/>
          <w:sz w:val="24"/>
          <w:szCs w:val="24"/>
        </w:rPr>
        <w:t xml:space="preserve">FARA was designed to capture overt, registerable foreign influence activity. The UFWD's most sophisticated operations deliberately blur the line between lawful influence — lobbying, advocacy, cultural exchange — and the covert foreign government direction that triggers criminal liability under § 951. Proving that a think-tank fellow or a business association executive was acting "at the direction or control" of the CCP, rather than independently pursuing views that align with Chinese interests, is a difficult evidentiary burden that many investigations cannot meet.</w:t>
      </w:r>
    </w:p>
    <w:p>
      <w:pPr>
        <w:pStyle w:val="Heading2"/>
        <w:spacing w:after="160" w:before="360"/>
      </w:pPr>
      <w:r>
        <w:rPr>
          <w:rFonts w:ascii="Times New Roman" w:cs="Times New Roman" w:eastAsia="Times New Roman" w:hAnsi="Times New Roman"/>
          <w:b/>
          <w:bCs/>
          <w:color w:val="8B0000"/>
          <w:sz w:val="28"/>
          <w:szCs w:val="28"/>
        </w:rPr>
        <w:t xml:space="preserve">Digital Coercion and WeChat Surveillance</w:t>
      </w:r>
    </w:p>
    <w:p>
      <w:pPr>
        <w:spacing w:after="160" w:before="0" w:line="360"/>
        <w:ind w:firstLine="720"/>
        <w:jc w:val="both"/>
      </w:pPr>
      <w:r>
        <w:rPr>
          <w:rFonts w:ascii="Times New Roman" w:cs="Times New Roman" w:eastAsia="Times New Roman" w:hAnsi="Times New Roman"/>
          <w:sz w:val="24"/>
          <w:szCs w:val="24"/>
        </w:rPr>
        <w:t xml:space="preserve">The CCP's coercion of overseas Chinese through WeChat, social media monitoring, and threats to family members in China operates in a legal gray zone. It is not clearly captured by existing federal statutes designed for physical surveillance and human source operations. The victim — a Chinese-American who self-censors on WeChat to protect a parent in Guangzhou — has not been subject to any action a US court can easily adjudicate. This form of soft coercion may be the UFWD's most durable and hardest-to-prosecute tool.</w:t>
      </w:r>
    </w:p>
    <w:p>
      <w:pPr>
        <w:pStyle w:val="Heading2"/>
        <w:spacing w:after="160" w:before="360"/>
      </w:pPr>
      <w:r>
        <w:rPr>
          <w:rFonts w:ascii="Times New Roman" w:cs="Times New Roman" w:eastAsia="Times New Roman" w:hAnsi="Times New Roman"/>
          <w:b/>
          <w:bCs/>
          <w:color w:val="8B0000"/>
          <w:sz w:val="28"/>
          <w:szCs w:val="28"/>
        </w:rPr>
        <w:t xml:space="preserve">Congressional Response</w:t>
      </w:r>
    </w:p>
    <w:p>
      <w:pPr>
        <w:spacing w:after="160" w:before="0" w:line="360"/>
        <w:ind w:firstLine="720"/>
        <w:jc w:val="both"/>
      </w:pPr>
      <w:r>
        <w:rPr>
          <w:rFonts w:ascii="Times New Roman" w:cs="Times New Roman" w:eastAsia="Times New Roman" w:hAnsi="Times New Roman"/>
          <w:sz w:val="24"/>
          <w:szCs w:val="24"/>
        </w:rPr>
        <w:t xml:space="preserve">Congress has responded to the documented CCP threat with a series of legislative measures: the Foreign Influence Transparency Act (FITA) sought to strengthen FARA; the RESTRICT Act (2023) targeted TikTok and other CCP-linked technology platforms with national security data access; the BIOSECURE Act targeted Chinese biotech firms with access to American genomic data. The National Security Act of 1947, as amended, provides the legal foundation for classified counterintelligence operations against UFWD activities. The picture is one of a legal framework actively evolving to keep pace with a sophisticated adversary that evolves its methods in response to each prosecution.</w:t>
      </w:r>
    </w:p>
    <w:p>
      <w:pPr>
        <w:shd w:fill="FEE2E2" w:color="auto" w:val="clear"/>
        <w:spacing w:after="200" w:before="200" w:line="360"/>
        <w:ind w:left="720" w:right="720"/>
        <w:jc w:val="both"/>
      </w:pPr>
      <w:r>
        <w:rPr>
          <w:rFonts w:ascii="Times New Roman" w:cs="Times New Roman" w:eastAsia="Times New Roman" w:hAnsi="Times New Roman"/>
          <w:i/>
          <w:iCs/>
          <w:sz w:val="24"/>
          <w:szCs w:val="24"/>
        </w:rPr>
        <w:t xml:space="preserve">The fundamental asymmetry: the CCP operates on a 30-year planning horizon and views each prosecution as intelligence about US counterintelligence tradecraft. The US legal system operates on the evidence available today. Closing that gap requires not just stronger statutes but sustained institutional investment in China-focused counterintelligence that persists across administrations — something the US has historically struggled to maintain.</w:t>
      </w:r>
    </w:p>
    <w:p>
      <w:pPr>
        <w:pStyle w:val="Heading1"/>
        <w:pageBreakBefore/>
        <w:spacing w:after="200" w:before="480"/>
      </w:pPr>
      <w:r>
        <w:rPr>
          <w:rFonts w:ascii="Times New Roman" w:cs="Times New Roman" w:eastAsia="Times New Roman" w:hAnsi="Times New Roman"/>
          <w:b/>
          <w:bCs/>
          <w:color w:val="1F3864"/>
          <w:sz w:val="32"/>
          <w:szCs w:val="32"/>
        </w:rPr>
        <w:t xml:space="preserve">Appendix A: References</w:t>
      </w:r>
    </w:p>
    <w:p>
      <w:pPr>
        <w:spacing w:after="160" w:before="0" w:line="360"/>
        <w:jc w:val="both"/>
      </w:pPr>
      <w:r>
        <w:rPr>
          <w:rFonts w:ascii="Times New Roman" w:cs="Times New Roman" w:eastAsia="Times New Roman" w:hAnsi="Times New Roman"/>
          <w:sz w:val="24"/>
          <w:szCs w:val="24"/>
        </w:rPr>
        <w:t xml:space="preserve">The following references are formatted in accordance with the Publication Manual of the American Psychological Association, 7th edition (American Psychological Association, 2020).</w:t>
      </w:r>
    </w:p>
    <w:p>
      <w:pPr>
        <w:spacing w:after="200"/>
      </w:pPr>
      <w:r>
        <w:t xml:space="preserve"/>
      </w:r>
    </w:p>
    <w:p>
      <w:pPr>
        <w:pStyle w:val="Heading3"/>
        <w:spacing w:after="120" w:before="280"/>
      </w:pPr>
      <w:r>
        <w:rPr>
          <w:rFonts w:ascii="Times New Roman" w:cs="Times New Roman" w:eastAsia="Times New Roman" w:hAnsi="Times New Roman"/>
          <w:b/>
          <w:bCs/>
          <w:color w:val="444444"/>
          <w:sz w:val="26"/>
          <w:szCs w:val="26"/>
        </w:rPr>
        <w:t xml:space="preserve">Books and Academic Sources</w:t>
      </w:r>
    </w:p>
    <w:p>
      <w:pPr>
        <w:spacing w:after="200" w:line="360"/>
        <w:ind w:left="720" w:hanging="720"/>
        <w:jc w:val="both"/>
      </w:pPr>
      <w:r>
        <w:rPr>
          <w:rFonts w:ascii="Times New Roman" w:cs="Times New Roman" w:eastAsia="Times New Roman" w:hAnsi="Times New Roman"/>
          <w:sz w:val="24"/>
          <w:szCs w:val="24"/>
        </w:rPr>
        <w:t xml:space="preserve">Brady, A.-M. (2017). Magic Weapons: China's political influence activities under Xi Jinping. Wilson Center. https://www.wilsoncenter.org</w:t>
      </w:r>
    </w:p>
    <w:p>
      <w:pPr>
        <w:spacing w:after="200" w:line="360"/>
        <w:ind w:left="720" w:hanging="720"/>
        <w:jc w:val="both"/>
      </w:pPr>
      <w:r>
        <w:rPr>
          <w:rFonts w:ascii="Times New Roman" w:cs="Times New Roman" w:eastAsia="Times New Roman" w:hAnsi="Times New Roman"/>
          <w:sz w:val="24"/>
          <w:szCs w:val="24"/>
        </w:rPr>
        <w:t xml:space="preserve">Joske, A. (2020). The party speaks for you: Foreign interference and the Chinese Communist Party's united front system. Australian Strategic Policy Institute.</w:t>
      </w:r>
    </w:p>
    <w:p>
      <w:pPr>
        <w:spacing w:after="200" w:line="360"/>
        <w:ind w:left="720" w:hanging="720"/>
        <w:jc w:val="both"/>
      </w:pPr>
      <w:r>
        <w:rPr>
          <w:rFonts w:ascii="Times New Roman" w:cs="Times New Roman" w:eastAsia="Times New Roman" w:hAnsi="Times New Roman"/>
          <w:sz w:val="24"/>
          <w:szCs w:val="24"/>
        </w:rPr>
        <w:t xml:space="preserve">Mattis, P., &amp; Brazil, M. (2019). Chinese Communist espionage: An intelligence primer. Naval Institute Press.</w:t>
      </w:r>
    </w:p>
    <w:p>
      <w:pPr>
        <w:spacing w:after="200" w:line="360"/>
        <w:ind w:left="720" w:hanging="720"/>
        <w:jc w:val="both"/>
      </w:pPr>
      <w:r>
        <w:rPr>
          <w:rFonts w:ascii="Times New Roman" w:cs="Times New Roman" w:eastAsia="Times New Roman" w:hAnsi="Times New Roman"/>
          <w:sz w:val="24"/>
          <w:szCs w:val="24"/>
        </w:rPr>
        <w:t xml:space="preserve">Molly Roberts, M. E. (2018). Censored: Distraction and diversion inside China's great firewall. Princeton University Press.</w:t>
      </w:r>
    </w:p>
    <w:p>
      <w:pPr>
        <w:spacing w:after="200" w:line="360"/>
        <w:ind w:left="720" w:hanging="720"/>
        <w:jc w:val="both"/>
      </w:pPr>
      <w:r>
        <w:rPr>
          <w:rFonts w:ascii="Times New Roman" w:cs="Times New Roman" w:eastAsia="Times New Roman" w:hAnsi="Times New Roman"/>
          <w:sz w:val="24"/>
          <w:szCs w:val="24"/>
        </w:rPr>
        <w:t xml:space="preserve">Goldsmith, J. (2012). Power and constraint: The accountable presidency after 9/11. W. W. Norton.</w:t>
      </w:r>
    </w:p>
    <w:p>
      <w:pPr>
        <w:pStyle w:val="Heading3"/>
        <w:spacing w:after="120" w:before="280"/>
      </w:pPr>
      <w:r>
        <w:rPr>
          <w:rFonts w:ascii="Times New Roman" w:cs="Times New Roman" w:eastAsia="Times New Roman" w:hAnsi="Times New Roman"/>
          <w:b/>
          <w:bCs/>
          <w:color w:val="444444"/>
          <w:sz w:val="26"/>
          <w:szCs w:val="26"/>
        </w:rPr>
        <w:t xml:space="preserve">Congressional Reports and Government Sources</w:t>
      </w:r>
    </w:p>
    <w:p>
      <w:pPr>
        <w:spacing w:after="200" w:line="360"/>
        <w:ind w:left="720" w:hanging="720"/>
        <w:jc w:val="both"/>
      </w:pPr>
      <w:r>
        <w:rPr>
          <w:rFonts w:ascii="Times New Roman" w:cs="Times New Roman" w:eastAsia="Times New Roman" w:hAnsi="Times New Roman"/>
          <w:sz w:val="24"/>
          <w:szCs w:val="24"/>
        </w:rPr>
        <w:t xml:space="preserve">Federal Bureau of Investigation. (2020). China: The risk to academia. U.S. Department of Justice. https://www.fbi.gov/cve/threats/china</w:t>
      </w:r>
    </w:p>
    <w:p>
      <w:pPr>
        <w:spacing w:after="200" w:line="360"/>
        <w:ind w:left="720" w:hanging="720"/>
        <w:jc w:val="both"/>
      </w:pPr>
      <w:r>
        <w:rPr>
          <w:rFonts w:ascii="Times New Roman" w:cs="Times New Roman" w:eastAsia="Times New Roman" w:hAnsi="Times New Roman"/>
          <w:sz w:val="24"/>
          <w:szCs w:val="24"/>
        </w:rPr>
        <w:t xml:space="preserve">Global Engagement Center. (2023). GEC special report: How the People's Republic of China seeks to reshape the global information environment. U.S. Department of State.</w:t>
      </w:r>
    </w:p>
    <w:p>
      <w:pPr>
        <w:spacing w:after="200" w:line="360"/>
        <w:ind w:left="720" w:hanging="720"/>
        <w:jc w:val="both"/>
      </w:pPr>
      <w:r>
        <w:rPr>
          <w:rFonts w:ascii="Times New Roman" w:cs="Times New Roman" w:eastAsia="Times New Roman" w:hAnsi="Times New Roman"/>
          <w:sz w:val="24"/>
          <w:szCs w:val="24"/>
        </w:rPr>
        <w:t xml:space="preserve">National Association of Scholars. (2020). Outsourced to China: Confucius Institutes and soft power in American higher education. NAS.</w:t>
      </w:r>
    </w:p>
    <w:p>
      <w:pPr>
        <w:spacing w:after="200" w:line="360"/>
        <w:ind w:left="720" w:hanging="720"/>
        <w:jc w:val="both"/>
      </w:pPr>
      <w:r>
        <w:rPr>
          <w:rFonts w:ascii="Times New Roman" w:cs="Times New Roman" w:eastAsia="Times New Roman" w:hAnsi="Times New Roman"/>
          <w:sz w:val="24"/>
          <w:szCs w:val="24"/>
        </w:rPr>
        <w:t xml:space="preserve">Safeguard Defenders. (2022). 110 overseas: Chinese transnational policing gone wild. Safeguard Defenders. https://safeguarddefenders.com</w:t>
      </w:r>
    </w:p>
    <w:p>
      <w:pPr>
        <w:spacing w:after="200" w:line="360"/>
        <w:ind w:left="720" w:hanging="720"/>
        <w:jc w:val="both"/>
      </w:pPr>
      <w:r>
        <w:rPr>
          <w:rFonts w:ascii="Times New Roman" w:cs="Times New Roman" w:eastAsia="Times New Roman" w:hAnsi="Times New Roman"/>
          <w:sz w:val="24"/>
          <w:szCs w:val="24"/>
        </w:rPr>
        <w:t xml:space="preserve">Senate Permanent Subcommittee on Investigations. (2019). Threats to the U.S. research enterprise: China's talent recruitment plans. U.S. Senate Committee on Homeland Security and Governmental Affairs.</w:t>
      </w:r>
    </w:p>
    <w:p>
      <w:pPr>
        <w:spacing w:after="200" w:line="360"/>
        <w:ind w:left="720" w:hanging="720"/>
        <w:jc w:val="both"/>
      </w:pPr>
      <w:r>
        <w:rPr>
          <w:rFonts w:ascii="Times New Roman" w:cs="Times New Roman" w:eastAsia="Times New Roman" w:hAnsi="Times New Roman"/>
          <w:sz w:val="24"/>
          <w:szCs w:val="24"/>
        </w:rPr>
        <w:t xml:space="preserve">Senate Judiciary Committee. (2022). China's impact on the U.S. education system. U.S. Senate Judiciary Subcommittee on Crime and Terrorism.</w:t>
      </w:r>
    </w:p>
    <w:p>
      <w:pPr>
        <w:spacing w:after="200" w:line="360"/>
        <w:ind w:left="720" w:hanging="720"/>
        <w:jc w:val="both"/>
      </w:pPr>
      <w:r>
        <w:rPr>
          <w:rFonts w:ascii="Times New Roman" w:cs="Times New Roman" w:eastAsia="Times New Roman" w:hAnsi="Times New Roman"/>
          <w:sz w:val="24"/>
          <w:szCs w:val="24"/>
        </w:rPr>
        <w:t xml:space="preserve">U.S. Department of Justice. (2018, November 1). Attorney general announces new initiative to combat Chinese economic espionage [Press release]. https://www.justice.gov</w:t>
      </w:r>
    </w:p>
    <w:p>
      <w:pPr>
        <w:spacing w:after="200" w:line="360"/>
        <w:ind w:left="720" w:hanging="720"/>
        <w:jc w:val="both"/>
      </w:pPr>
      <w:r>
        <w:rPr>
          <w:rFonts w:ascii="Times New Roman" w:cs="Times New Roman" w:eastAsia="Times New Roman" w:hAnsi="Times New Roman"/>
          <w:sz w:val="24"/>
          <w:szCs w:val="24"/>
        </w:rPr>
        <w:t xml:space="preserve">Wray, C. (2022, March 1). Testimony before the Senate Select Committee on Intelligence. Federal Bureau of Investigation. https://www.fbi.gov</w:t>
      </w:r>
    </w:p>
    <w:p>
      <w:pPr>
        <w:pStyle w:val="Heading3"/>
        <w:spacing w:after="120" w:before="280"/>
      </w:pPr>
      <w:r>
        <w:rPr>
          <w:rFonts w:ascii="Times New Roman" w:cs="Times New Roman" w:eastAsia="Times New Roman" w:hAnsi="Times New Roman"/>
          <w:b/>
          <w:bCs/>
          <w:color w:val="444444"/>
          <w:sz w:val="26"/>
          <w:szCs w:val="26"/>
        </w:rPr>
        <w:t xml:space="preserve">Court Records and DOJ Indictments</w:t>
      </w:r>
    </w:p>
    <w:p>
      <w:pPr>
        <w:spacing w:after="200" w:line="360"/>
        <w:ind w:left="720" w:hanging="720"/>
        <w:jc w:val="both"/>
      </w:pPr>
      <w:r>
        <w:rPr>
          <w:rFonts w:ascii="Times New Roman" w:cs="Times New Roman" w:eastAsia="Times New Roman" w:hAnsi="Times New Roman"/>
          <w:sz w:val="24"/>
          <w:szCs w:val="24"/>
        </w:rPr>
        <w:t xml:space="preserve">U.S. Department of Justice. (2020, September 21). NYPD police officer arrested for acting as an illegal agent of the Chinese government [Press release — Angwang]. https://www.justice.gov</w:t>
      </w:r>
    </w:p>
    <w:p>
      <w:pPr>
        <w:spacing w:after="200" w:line="360"/>
        <w:ind w:left="720" w:hanging="720"/>
        <w:jc w:val="both"/>
      </w:pPr>
      <w:r>
        <w:rPr>
          <w:rFonts w:ascii="Times New Roman" w:cs="Times New Roman" w:eastAsia="Times New Roman" w:hAnsi="Times New Roman"/>
          <w:sz w:val="24"/>
          <w:szCs w:val="24"/>
        </w:rPr>
        <w:t xml:space="preserve">U.S. Department of Justice. (2021a, January 28). Harvard University professor and two Chinese nationals charged in three separate China related cases [Lieber]. https://www.justice.gov</w:t>
      </w:r>
    </w:p>
    <w:p>
      <w:pPr>
        <w:spacing w:after="200" w:line="360"/>
        <w:ind w:left="720" w:hanging="720"/>
        <w:jc w:val="both"/>
      </w:pPr>
      <w:r>
        <w:rPr>
          <w:rFonts w:ascii="Times New Roman" w:cs="Times New Roman" w:eastAsia="Times New Roman" w:hAnsi="Times New Roman"/>
          <w:sz w:val="24"/>
          <w:szCs w:val="24"/>
        </w:rPr>
        <w:t xml:space="preserve">U.S. Department of Justice. (2021b, November 5). Chinese intelligence officer convicted of economic espionage and theft of trade secrets [Xu]. https://www.justice.gov</w:t>
      </w:r>
    </w:p>
    <w:p>
      <w:pPr>
        <w:spacing w:after="200" w:line="360"/>
        <w:ind w:left="720" w:hanging="720"/>
        <w:jc w:val="both"/>
      </w:pPr>
      <w:r>
        <w:rPr>
          <w:rFonts w:ascii="Times New Roman" w:cs="Times New Roman" w:eastAsia="Times New Roman" w:hAnsi="Times New Roman"/>
          <w:sz w:val="24"/>
          <w:szCs w:val="24"/>
        </w:rPr>
        <w:t xml:space="preserve">U.S. Department of Justice. (2022, October 19). Two individuals convicted for participating in covert harassment campaign against U.S. resident on behalf of the People's Republic of China [McMahon et al.]. https://www.justice.gov</w:t>
      </w:r>
    </w:p>
    <w:p>
      <w:pPr>
        <w:spacing w:after="200" w:line="360"/>
        <w:ind w:left="720" w:hanging="720"/>
        <w:jc w:val="both"/>
      </w:pPr>
      <w:r>
        <w:rPr>
          <w:rFonts w:ascii="Times New Roman" w:cs="Times New Roman" w:eastAsia="Times New Roman" w:hAnsi="Times New Roman"/>
          <w:sz w:val="24"/>
          <w:szCs w:val="24"/>
        </w:rPr>
        <w:t xml:space="preserve">U.S. Department of Justice. (2023a, April 17). Two individuals arrested for operating illegal Chinese police station in New York City. https://www.justice.gov</w:t>
      </w:r>
    </w:p>
    <w:p>
      <w:pPr>
        <w:spacing w:after="200" w:line="360"/>
        <w:ind w:left="720" w:hanging="720"/>
        <w:jc w:val="both"/>
      </w:pPr>
      <w:r>
        <w:rPr>
          <w:rFonts w:ascii="Times New Roman" w:cs="Times New Roman" w:eastAsia="Times New Roman" w:hAnsi="Times New Roman"/>
          <w:sz w:val="24"/>
          <w:szCs w:val="24"/>
        </w:rPr>
        <w:t xml:space="preserve">U.S. Department of Justice. (2008, March 24). Defense contractor sentenced to more than 24 years [Chi Mak]. https://www.justice.gov</w:t>
      </w:r>
    </w:p>
    <w:p>
      <w:pPr>
        <w:pStyle w:val="Heading3"/>
        <w:spacing w:after="120" w:before="280"/>
      </w:pPr>
      <w:r>
        <w:rPr>
          <w:rFonts w:ascii="Times New Roman" w:cs="Times New Roman" w:eastAsia="Times New Roman" w:hAnsi="Times New Roman"/>
          <w:b/>
          <w:bCs/>
          <w:color w:val="444444"/>
          <w:sz w:val="26"/>
          <w:szCs w:val="26"/>
        </w:rPr>
        <w:t xml:space="preserve">Journalism and Reporting</w:t>
      </w:r>
    </w:p>
    <w:p>
      <w:pPr>
        <w:spacing w:after="200" w:line="360"/>
        <w:ind w:left="720" w:hanging="720"/>
        <w:jc w:val="both"/>
      </w:pPr>
      <w:r>
        <w:rPr>
          <w:rFonts w:ascii="Times New Roman" w:cs="Times New Roman" w:eastAsia="Times New Roman" w:hAnsi="Times New Roman"/>
          <w:sz w:val="24"/>
          <w:szCs w:val="24"/>
        </w:rPr>
        <w:t xml:space="preserve">Demirjian, K. (2022, February 23). Justice Dept. drops the China initiative, citing concerns about racial profiling. The New York Times. https://www.nytimes.com</w:t>
      </w:r>
    </w:p>
    <w:p>
      <w:pPr>
        <w:spacing w:after="200" w:line="360"/>
        <w:ind w:left="720" w:hanging="720"/>
        <w:jc w:val="both"/>
      </w:pPr>
      <w:r>
        <w:rPr>
          <w:rFonts w:ascii="Times New Roman" w:cs="Times New Roman" w:eastAsia="Times New Roman" w:hAnsi="Times New Roman"/>
          <w:sz w:val="24"/>
          <w:szCs w:val="24"/>
        </w:rPr>
        <w:t xml:space="preserve">Swan, J., Dorfman, Z., &amp; Fritz, A. (2020, December 8). Exclusive: Suspected Chinese spy targeted California politicians. Axios. https://www.axios.com</w:t>
      </w:r>
    </w:p>
    <w:p>
      <w:pPr>
        <w:pStyle w:val="Heading3"/>
        <w:spacing w:after="120" w:before="280"/>
      </w:pPr>
      <w:r>
        <w:rPr>
          <w:rFonts w:ascii="Times New Roman" w:cs="Times New Roman" w:eastAsia="Times New Roman" w:hAnsi="Times New Roman"/>
          <w:b/>
          <w:bCs/>
          <w:color w:val="444444"/>
          <w:sz w:val="26"/>
          <w:szCs w:val="26"/>
        </w:rPr>
        <w:t xml:space="preserve">Statutes Cited</w:t>
      </w:r>
    </w:p>
    <w:p>
      <w:pPr>
        <w:spacing w:after="200" w:line="360"/>
        <w:ind w:left="720" w:hanging="720"/>
        <w:jc w:val="both"/>
      </w:pPr>
      <w:r>
        <w:rPr>
          <w:rFonts w:ascii="Times New Roman" w:cs="Times New Roman" w:eastAsia="Times New Roman" w:hAnsi="Times New Roman"/>
          <w:sz w:val="24"/>
          <w:szCs w:val="24"/>
        </w:rPr>
        <w:t xml:space="preserve">Classified Information Procedures Act, 18 U.S.C. App. III (1980).</w:t>
      </w:r>
    </w:p>
    <w:p>
      <w:pPr>
        <w:spacing w:after="200" w:line="360"/>
        <w:ind w:left="720" w:hanging="720"/>
        <w:jc w:val="both"/>
      </w:pPr>
      <w:r>
        <w:rPr>
          <w:rFonts w:ascii="Times New Roman" w:cs="Times New Roman" w:eastAsia="Times New Roman" w:hAnsi="Times New Roman"/>
          <w:sz w:val="24"/>
          <w:szCs w:val="24"/>
        </w:rPr>
        <w:t xml:space="preserve">Economic Espionage Act of 1996, 18 U.S.C. §§ 1831–1839.</w:t>
      </w:r>
    </w:p>
    <w:p>
      <w:pPr>
        <w:spacing w:after="200" w:line="360"/>
        <w:ind w:left="720" w:hanging="720"/>
        <w:jc w:val="both"/>
      </w:pPr>
      <w:r>
        <w:rPr>
          <w:rFonts w:ascii="Times New Roman" w:cs="Times New Roman" w:eastAsia="Times New Roman" w:hAnsi="Times New Roman"/>
          <w:sz w:val="24"/>
          <w:szCs w:val="24"/>
        </w:rPr>
        <w:t xml:space="preserve">Espionage Act, 18 U.S.C. §§ 793–798 (1917, as amended).</w:t>
      </w:r>
    </w:p>
    <w:p>
      <w:pPr>
        <w:spacing w:after="200" w:line="360"/>
        <w:ind w:left="720" w:hanging="720"/>
        <w:jc w:val="both"/>
      </w:pPr>
      <w:r>
        <w:rPr>
          <w:rFonts w:ascii="Times New Roman" w:cs="Times New Roman" w:eastAsia="Times New Roman" w:hAnsi="Times New Roman"/>
          <w:sz w:val="24"/>
          <w:szCs w:val="24"/>
        </w:rPr>
        <w:t xml:space="preserve">Foreign Agent Registration Act, 22 U.S.C. § 611 et seq. (1938, as amended).</w:t>
      </w:r>
    </w:p>
    <w:p>
      <w:pPr>
        <w:spacing w:after="200" w:line="360"/>
        <w:ind w:left="720" w:hanging="720"/>
        <w:jc w:val="both"/>
      </w:pPr>
      <w:r>
        <w:rPr>
          <w:rFonts w:ascii="Times New Roman" w:cs="Times New Roman" w:eastAsia="Times New Roman" w:hAnsi="Times New Roman"/>
          <w:sz w:val="24"/>
          <w:szCs w:val="24"/>
        </w:rPr>
        <w:t xml:space="preserve">National Security Act of 1947, 50 U.S.C. § 3001 et seq.</w:t>
      </w:r>
    </w:p>
    <w:p>
      <w:pPr>
        <w:spacing w:after="200" w:line="360"/>
        <w:ind w:left="720" w:hanging="720"/>
        <w:jc w:val="both"/>
      </w:pPr>
      <w:r>
        <w:rPr>
          <w:rFonts w:ascii="Times New Roman" w:cs="Times New Roman" w:eastAsia="Times New Roman" w:hAnsi="Times New Roman"/>
          <w:sz w:val="24"/>
          <w:szCs w:val="24"/>
        </w:rPr>
        <w:t xml:space="preserve">Unregistered Foreign Government Agent Statute, 18 U.S.C. § 951 (1948, as amended).</w:t>
      </w:r>
    </w:p>
    <w:sectPr>
      <w:pgSz w:w="11906" w:h="16838" w:orient="portrait"/>
      <w:pgMar w:top="1800" w:right="1800" w:bottom="180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2026-06-27T14:06:43.556Z</dcterms:created>
  <dcterms:modified xsi:type="dcterms:W3CDTF">2026-06-27T14:06:43.556Z</dcterms:modified>
</cp:coreProperties>
</file>

<file path=docProps/custom.xml><?xml version="1.0" encoding="utf-8"?>
<Properties xmlns="http://schemas.openxmlformats.org/officeDocument/2006/custom-properties" xmlns:vt="http://schemas.openxmlformats.org/officeDocument/2006/docPropsVTypes"/>
</file>