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br/>
        <w:br/>
        <w:br/>
        <w:t xml:space="preserve"/>
      </w:r>
    </w:p>
    <w:p>
      <w:pPr>
        <w:spacing w:after="200"/>
        <w:jc w:val="center"/>
      </w:pPr>
      <w:r>
        <w:rPr>
          <w:rFonts w:ascii="Times New Roman" w:cs="Times New Roman" w:eastAsia="Times New Roman" w:hAnsi="Times New Roman"/>
          <w:b/>
          <w:bCs/>
          <w:color w:val="1F3864"/>
          <w:sz w:val="44"/>
          <w:szCs w:val="44"/>
        </w:rPr>
        <w:t xml:space="preserve">THE AMERICAN LEGAL FRAMEWORK</w:t>
      </w:r>
    </w:p>
    <w:p>
      <w:pPr>
        <w:spacing w:after="360"/>
        <w:jc w:val="center"/>
      </w:pPr>
      <w:r>
        <w:rPr>
          <w:rFonts w:ascii="Times New Roman" w:cs="Times New Roman" w:eastAsia="Times New Roman" w:hAnsi="Times New Roman"/>
          <w:b/>
          <w:bCs/>
          <w:color w:val="1F3864"/>
          <w:sz w:val="44"/>
          <w:szCs w:val="44"/>
        </w:rPr>
        <w:t xml:space="preserve">AGAINST SEDITION AND SUBVERSION</w:t>
      </w:r>
    </w:p>
    <w:p>
      <w:pPr>
        <w:spacing w:after="280"/>
        <w:jc w:val="center"/>
      </w:pPr>
      <w:r>
        <w:rPr>
          <w:rFonts w:ascii="Times New Roman" w:cs="Times New Roman" w:eastAsia="Times New Roman" w:hAnsi="Times New Roman"/>
          <w:i/>
          <w:iCs/>
          <w:color w:val="2E4057"/>
          <w:sz w:val="30"/>
          <w:szCs w:val="30"/>
        </w:rPr>
        <w:t xml:space="preserve">History, Doctrine, and Current Enforceability</w:t>
      </w:r>
    </w:p>
    <w:p>
      <w:pPr>
        <w:spacing w:after="240"/>
        <w:jc w:val="center"/>
      </w:pPr>
      <w:r>
        <w:rPr>
          <w:rFonts w:ascii="Times New Roman" w:cs="Times New Roman" w:eastAsia="Times New Roman" w:hAnsi="Times New Roman"/>
          <w:i/>
          <w:iCs/>
          <w:color w:val="555555"/>
          <w:sz w:val="26"/>
          <w:szCs w:val="26"/>
        </w:rPr>
        <w:t xml:space="preserve">Part Two of a Series on the Communist Threat to the United States</w:t>
      </w:r>
    </w:p>
    <w:p>
      <w:pPr>
        <w:spacing w:after="600"/>
        <w:jc w:val="center"/>
      </w:pPr>
      <w:r>
        <w:rPr>
          <w:rFonts w:ascii="Times New Roman" w:cs="Times New Roman" w:eastAsia="Times New Roman" w:hAnsi="Times New Roman"/>
          <w:color w:val="666666"/>
          <w:sz w:val="24"/>
          <w:szCs w:val="24"/>
        </w:rPr>
        <w:t xml:space="preserve">June 2026</w:t>
      </w:r>
    </w:p>
    <w:p>
      <w:pPr>
        <w:spacing w:after="360" w:line="360"/>
        <w:jc w:val="both"/>
      </w:pPr>
      <w:r>
        <w:rPr>
          <w:rFonts w:ascii="Times New Roman" w:cs="Times New Roman" w:eastAsia="Times New Roman" w:hAnsi="Times New Roman"/>
          <w:sz w:val="24"/>
          <w:szCs w:val="24"/>
        </w:rPr>
        <w:t xml:space="preserve">This paper examines the legislative and legal history of the United States government's statutory framework for prosecuting sedition, subversion, and anti-constitutional advocacy. It answers a question of pressing contemporary relevance: which of these laws still exist, which are enforceable under modern constitutional doctrine, and why enforcement of certain statutes effectively ceased while others continue to produce convictions. This is the second paper in a series that began with a broad examination of Communism's history and contemporary threat to the American republic.</w:t>
      </w:r>
    </w:p>
    <w:p>
      <w:r>
        <w:br w:type="page"/>
      </w:r>
    </w:p>
    <w:p>
      <w:pPr>
        <w:pStyle w:val="Heading1"/>
        <w:spacing w:after="240" w:before="360"/>
        <w:rPr>
          <w:rFonts w:ascii="Times New Roman" w:cs="Times New Roman" w:eastAsia="Times New Roman" w:hAnsi="Times New Roman"/>
          <w:b/>
          <w:bCs/>
          <w:color w:val="1F3864"/>
          <w:sz w:val="32"/>
          <w:szCs w:val="32"/>
        </w:rPr>
      </w:pPr>
      <w:r>
        <w:t xml:space="preserve">Section I: The Sedition Act of 1918 — Origins, Application, and Repeal</w:t>
      </w:r>
    </w:p>
    <w:p>
      <w:pPr>
        <w:pStyle w:val="Heading2"/>
        <w:spacing w:after="160" w:before="280"/>
        <w:rPr>
          <w:rFonts w:ascii="Times New Roman" w:cs="Times New Roman" w:eastAsia="Times New Roman" w:hAnsi="Times New Roman"/>
          <w:b/>
          <w:bCs/>
          <w:color w:val="2E4057"/>
          <w:sz w:val="28"/>
          <w:szCs w:val="28"/>
        </w:rPr>
      </w:pPr>
      <w:r>
        <w:t xml:space="preserve">Origins and Legislative Context</w:t>
      </w:r>
    </w:p>
    <w:p>
      <w:pPr>
        <w:spacing w:after="180" w:line="360"/>
        <w:ind w:firstLine="720"/>
        <w:jc w:val="both"/>
      </w:pPr>
      <w:r>
        <w:rPr>
          <w:rFonts w:ascii="Times New Roman" w:cs="Times New Roman" w:eastAsia="Times New Roman" w:hAnsi="Times New Roman"/>
          <w:sz w:val="24"/>
          <w:szCs w:val="24"/>
        </w:rPr>
        <w:t xml:space="preserve">The Sedition Act of 1918 was not an independent piece of legislation but an amendment to the Espionage Act of 1917 </w:t>
      </w:r>
      <w:r>
        <w:rPr>
          <w:rFonts w:ascii="Times New Roman" w:cs="Times New Roman" w:eastAsia="Times New Roman" w:hAnsi="Times New Roman"/>
          <w:i/>
          <w:iCs/>
          <w:sz w:val="24"/>
          <w:szCs w:val="24"/>
        </w:rPr>
        <w:t xml:space="preserve">(Espionage Act of 1917, Pub. L. No. 65-24)</w:t>
      </w:r>
      <w:r>
        <w:rPr>
          <w:rFonts w:ascii="Times New Roman" w:cs="Times New Roman" w:eastAsia="Times New Roman" w:hAnsi="Times New Roman"/>
          <w:sz w:val="24"/>
          <w:szCs w:val="24"/>
        </w:rPr>
        <w:t xml:space="preserve">, enacted on May 16, 1918, as the United States fought in the final year of the First World War. The amendment dramatically expanded the original Espionage Act's reach, making it a federal crime to use </w:t>
      </w:r>
      <w:r>
        <w:rPr>
          <w:rFonts w:ascii="Times New Roman" w:cs="Times New Roman" w:eastAsia="Times New Roman" w:hAnsi="Times New Roman"/>
          <w:i/>
          <w:iCs/>
          <w:sz w:val="24"/>
          <w:szCs w:val="24"/>
        </w:rPr>
        <w:t xml:space="preserve">"disloyal, profane, scurrilous, or abusive language"</w:t>
      </w:r>
      <w:r>
        <w:rPr>
          <w:rFonts w:ascii="Times New Roman" w:cs="Times New Roman" w:eastAsia="Times New Roman" w:hAnsi="Times New Roman"/>
          <w:sz w:val="24"/>
          <w:szCs w:val="24"/>
        </w:rPr>
        <w:t xml:space="preserve"> about the United States government, the Constitution, the military, or the national flag — or to advocate any curtailment of war production by any means </w:t>
      </w:r>
      <w:r>
        <w:rPr>
          <w:rFonts w:ascii="Times New Roman" w:cs="Times New Roman" w:eastAsia="Times New Roman" w:hAnsi="Times New Roman"/>
          <w:i/>
          <w:iCs/>
          <w:sz w:val="24"/>
          <w:szCs w:val="24"/>
        </w:rPr>
        <w:t xml:space="preserve">(Sedition Act of 1918, Pub. L. No. 65-150)</w:t>
      </w:r>
      <w:r>
        <w:rPr>
          <w:rFonts w:ascii="Times New Roman" w:cs="Times New Roman" w:eastAsia="Times New Roman" w:hAnsi="Times New Roman"/>
          <w:sz w:val="24"/>
          <w:szCs w:val="24"/>
        </w:rPr>
        <w:t xml:space="preserve">. The Act reflected the intense wartime pressure to silence critics of the war, suppress socialist and labor organizing, and prevent interference with conscription.</w:t>
      </w:r>
    </w:p>
    <w:p>
      <w:pPr>
        <w:spacing w:after="180" w:line="360"/>
        <w:ind w:firstLine="720"/>
        <w:jc w:val="both"/>
      </w:pPr>
      <w:r>
        <w:rPr>
          <w:rFonts w:ascii="Times New Roman" w:cs="Times New Roman" w:eastAsia="Times New Roman" w:hAnsi="Times New Roman"/>
          <w:sz w:val="24"/>
          <w:szCs w:val="24"/>
        </w:rPr>
        <w:t xml:space="preserve">The political context was acute. The United States had entered the war in April 1917, but significant opposition existed across the political spectrum — from socialist anti-militarists to progressive isolationists to immigrant communities with ties to Germany and Austria-Hungary. The Wilson administration and the majority in Congress concluded that existing law was insufficient to address these dissident voices and moved to close the perceived gap with sweeping language that would, in peacetime conditions, have been constitutionally unthinkable.</w:t>
      </w:r>
    </w:p>
    <w:p>
      <w:pPr>
        <w:pStyle w:val="Heading2"/>
        <w:spacing w:after="160" w:before="280"/>
        <w:rPr>
          <w:rFonts w:ascii="Times New Roman" w:cs="Times New Roman" w:eastAsia="Times New Roman" w:hAnsi="Times New Roman"/>
          <w:b/>
          <w:bCs/>
          <w:color w:val="2E4057"/>
          <w:sz w:val="28"/>
          <w:szCs w:val="28"/>
        </w:rPr>
      </w:pPr>
      <w:r>
        <w:t xml:space="preserve">Application and Prosecutions</w:t>
      </w:r>
    </w:p>
    <w:p>
      <w:pPr>
        <w:spacing w:after="180" w:line="360"/>
        <w:ind w:firstLine="720"/>
        <w:jc w:val="both"/>
      </w:pPr>
      <w:r>
        <w:rPr>
          <w:rFonts w:ascii="Times New Roman" w:cs="Times New Roman" w:eastAsia="Times New Roman" w:hAnsi="Times New Roman"/>
          <w:sz w:val="24"/>
          <w:szCs w:val="24"/>
        </w:rPr>
        <w:t xml:space="preserve">The Act was enforced aggressively during the approximately three years it remained in force. Approximately 2,000 people were prosecuted under the combined Espionage and Sedition Acts during this period, with nearly 900 convictions secured. The prosecutions ranged from genuine security threats to cases that subsequent legal historians have characterized as straightforward suppression of political dissent.</w:t>
      </w:r>
    </w:p>
    <w:p>
      <w:pPr>
        <w:spacing w:after="180" w:line="360"/>
        <w:ind w:firstLine="720"/>
        <w:jc w:val="both"/>
      </w:pPr>
      <w:r>
        <w:rPr>
          <w:rFonts w:ascii="Times New Roman" w:cs="Times New Roman" w:eastAsia="Times New Roman" w:hAnsi="Times New Roman"/>
          <w:sz w:val="24"/>
          <w:szCs w:val="24"/>
        </w:rPr>
        <w:t xml:space="preserve">The most prominent prosecution was that of Eugene V. Debs, the five-time Socialist Party presidential candidate, who was arrested following a June 1918 speech in Canton, Ohio, in which he condemned the war and expressed sympathy with individuals imprisoned for opposing conscription. Debs was convicted and sentenced to ten years in federal prison </w:t>
      </w:r>
      <w:r>
        <w:rPr>
          <w:rFonts w:ascii="Times New Roman" w:cs="Times New Roman" w:eastAsia="Times New Roman" w:hAnsi="Times New Roman"/>
          <w:i/>
          <w:iCs/>
          <w:sz w:val="24"/>
          <w:szCs w:val="24"/>
        </w:rPr>
        <w:t xml:space="preserve">(Debs v. United States, 1919)</w:t>
      </w:r>
      <w:r>
        <w:rPr>
          <w:rFonts w:ascii="Times New Roman" w:cs="Times New Roman" w:eastAsia="Times New Roman" w:hAnsi="Times New Roman"/>
          <w:sz w:val="24"/>
          <w:szCs w:val="24"/>
        </w:rPr>
        <w:t xml:space="preserve">. His conviction was upheld unanimously by the Supreme Court. He received nearly one million votes in the 1920 presidential election while imprisoned — running his campaign from the Atlanta Federal Penitentiary. President Warren G. Harding commuted his sentence in December 1921.</w:t>
      </w:r>
    </w:p>
    <w:p>
      <w:pPr>
        <w:spacing w:after="180" w:line="360"/>
        <w:ind w:firstLine="720"/>
        <w:jc w:val="both"/>
      </w:pPr>
      <w:r>
        <w:rPr>
          <w:rFonts w:ascii="Times New Roman" w:cs="Times New Roman" w:eastAsia="Times New Roman" w:hAnsi="Times New Roman"/>
          <w:sz w:val="24"/>
          <w:szCs w:val="24"/>
        </w:rPr>
        <w:t xml:space="preserve">Victor Berger, a Socialist member of Congress from Wisconsin, was convicted under the Act and sentenced to 20 years. The House of Representatives twice refused to seat him. The Supreme Court eventually reversed his conviction on the grounds of judicial bias </w:t>
      </w:r>
      <w:r>
        <w:rPr>
          <w:rFonts w:ascii="Times New Roman" w:cs="Times New Roman" w:eastAsia="Times New Roman" w:hAnsi="Times New Roman"/>
          <w:i/>
          <w:iCs/>
          <w:sz w:val="24"/>
          <w:szCs w:val="24"/>
        </w:rPr>
        <w:t xml:space="preserve">(Berger v. United States, 1921)</w:t>
      </w:r>
      <w:r>
        <w:rPr>
          <w:rFonts w:ascii="Times New Roman" w:cs="Times New Roman" w:eastAsia="Times New Roman" w:hAnsi="Times New Roman"/>
          <w:sz w:val="24"/>
          <w:szCs w:val="24"/>
        </w:rPr>
        <w:t xml:space="preserve">, but only after he had been denied his elected seat twice. Ben Fletcher, a prominent Black labor organizer and member of the Industrial Workers of the World, was convicted and sentenced to ten years. The pattern of prosecutions disproportionately targeted immigrants, labor organizers, socialists, and pacifists — precisely the populations whose opposition to the war was loudest but whose political threat to the government was most dubious.</w:t>
      </w:r>
    </w:p>
    <w:p>
      <w:pPr>
        <w:pStyle w:val="Heading2"/>
        <w:spacing w:after="160" w:before="280"/>
        <w:rPr>
          <w:rFonts w:ascii="Times New Roman" w:cs="Times New Roman" w:eastAsia="Times New Roman" w:hAnsi="Times New Roman"/>
          <w:b/>
          <w:bCs/>
          <w:color w:val="2E4057"/>
          <w:sz w:val="28"/>
          <w:szCs w:val="28"/>
        </w:rPr>
      </w:pPr>
      <w:r>
        <w:t xml:space="preserve">Repeal and the Reasons Behind It</w:t>
      </w:r>
    </w:p>
    <w:p>
      <w:pPr>
        <w:spacing w:after="180" w:line="360"/>
        <w:ind w:firstLine="720"/>
        <w:jc w:val="both"/>
      </w:pPr>
      <w:r>
        <w:rPr>
          <w:rFonts w:ascii="Times New Roman" w:cs="Times New Roman" w:eastAsia="Times New Roman" w:hAnsi="Times New Roman"/>
          <w:sz w:val="24"/>
          <w:szCs w:val="24"/>
        </w:rPr>
        <w:t xml:space="preserve">The Sedition Act of 1918 was repealed on March 3, 1921 </w:t>
      </w:r>
      <w:r>
        <w:rPr>
          <w:rFonts w:ascii="Times New Roman" w:cs="Times New Roman" w:eastAsia="Times New Roman" w:hAnsi="Times New Roman"/>
          <w:i/>
          <w:iCs/>
          <w:sz w:val="24"/>
          <w:szCs w:val="24"/>
        </w:rPr>
        <w:t xml:space="preserve">(Repeal of Sedition Act, Pub. L. No. 66-403, 41 Stat. 1359, 1921)</w:t>
      </w:r>
      <w:r>
        <w:rPr>
          <w:rFonts w:ascii="Times New Roman" w:cs="Times New Roman" w:eastAsia="Times New Roman" w:hAnsi="Times New Roman"/>
          <w:sz w:val="24"/>
          <w:szCs w:val="24"/>
        </w:rPr>
        <w:t xml:space="preserve">. It is not merely dormant or unenforced — it does not exist in the United States Code. Three converging forces produced the repeal:</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End of the war justification: With the Armistice signed on November 11, 1918, the emergency rationale for restricting wartime speech evaporated. The Act had been defended primarily as a wartime necessity, and that defense became untenable once the war ended.</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Backlash against prosecutorial overreach: The most egregious convictions — a candidate imprisoned while running for president, a sitting congressman denied his seat — generated sustained criticism from civil libertarians, legal scholars, and the press. Zechariah Chafee's influential 1920 work Freedom of Speech documented the abuses in detail (Chafee, 1920) and built the academic case for repeal.</w:t>
      </w:r>
    </w:p>
    <w:p>
      <w:pPr>
        <w:spacing w:after="180" w:line="360"/>
        <w:ind w:firstLine="720"/>
        <w:jc w:val="both"/>
      </w:pPr>
      <w:r>
        <w:rPr>
          <w:rFonts w:ascii="Times New Roman" w:cs="Times New Roman" w:eastAsia="Times New Roman" w:hAnsi="Times New Roman"/>
          <w:sz w:val="24"/>
          <w:szCs w:val="24"/>
        </w:rPr>
        <w:t xml:space="preserve"/>
      </w:r>
      <w:r>
        <w:rPr>
          <w:rFonts w:ascii="Times New Roman" w:cs="Times New Roman" w:eastAsia="Times New Roman" w:hAnsi="Times New Roman"/>
          <w:sz w:val="24"/>
          <w:szCs w:val="24"/>
        </w:rPr>
        <w:t xml:space="preserve">Early doctrinal pressure: The Supreme Court's 1919 decisions began generating a dissenting tradition within the Court itself. While the Court upheld convictions in </w:t>
      </w:r>
      <w:r>
        <w:rPr>
          <w:rFonts w:ascii="Times New Roman" w:cs="Times New Roman" w:eastAsia="Times New Roman" w:hAnsi="Times New Roman"/>
          <w:i/>
          <w:iCs/>
          <w:sz w:val="24"/>
          <w:szCs w:val="24"/>
        </w:rPr>
        <w:t xml:space="preserve">Schenck v. United States</w:t>
      </w:r>
      <w:r>
        <w:rPr>
          <w:rFonts w:ascii="Times New Roman" w:cs="Times New Roman" w:eastAsia="Times New Roman" w:hAnsi="Times New Roman"/>
          <w:sz w:val="24"/>
          <w:szCs w:val="24"/>
        </w:rPr>
        <w:t xml:space="preserve"> (1919), </w:t>
      </w:r>
      <w:r>
        <w:rPr>
          <w:rFonts w:ascii="Times New Roman" w:cs="Times New Roman" w:eastAsia="Times New Roman" w:hAnsi="Times New Roman"/>
          <w:i/>
          <w:iCs/>
          <w:sz w:val="24"/>
          <w:szCs w:val="24"/>
        </w:rPr>
        <w:t xml:space="preserve">Frohwerk v. United States</w:t>
      </w:r>
      <w:r>
        <w:rPr>
          <w:rFonts w:ascii="Times New Roman" w:cs="Times New Roman" w:eastAsia="Times New Roman" w:hAnsi="Times New Roman"/>
          <w:sz w:val="24"/>
          <w:szCs w:val="24"/>
        </w:rPr>
        <w:t xml:space="preserve"> (1919), and </w:t>
      </w:r>
      <w:r>
        <w:rPr>
          <w:rFonts w:ascii="Times New Roman" w:cs="Times New Roman" w:eastAsia="Times New Roman" w:hAnsi="Times New Roman"/>
          <w:i/>
          <w:iCs/>
          <w:sz w:val="24"/>
          <w:szCs w:val="24"/>
        </w:rPr>
        <w:t xml:space="preserve">Debs v. United States</w:t>
      </w:r>
      <w:r>
        <w:rPr>
          <w:rFonts w:ascii="Times New Roman" w:cs="Times New Roman" w:eastAsia="Times New Roman" w:hAnsi="Times New Roman"/>
          <w:sz w:val="24"/>
          <w:szCs w:val="24"/>
        </w:rPr>
        <w:t xml:space="preserve"> (1919), Justices Oliver Wendell Holmes and Louis Brandeis wrote influential dissents in </w:t>
      </w:r>
      <w:r>
        <w:rPr>
          <w:rFonts w:ascii="Times New Roman" w:cs="Times New Roman" w:eastAsia="Times New Roman" w:hAnsi="Times New Roman"/>
          <w:i/>
          <w:iCs/>
          <w:sz w:val="24"/>
          <w:szCs w:val="24"/>
        </w:rPr>
        <w:t xml:space="preserve">Abrams v. United States</w:t>
      </w:r>
      <w:r>
        <w:rPr>
          <w:rFonts w:ascii="Times New Roman" w:cs="Times New Roman" w:eastAsia="Times New Roman" w:hAnsi="Times New Roman"/>
          <w:sz w:val="24"/>
          <w:szCs w:val="24"/>
        </w:rPr>
        <w:t xml:space="preserve"> (1919) arguing that the 'clear and present danger' standard required an immediate, not merely probable, threat to government operations. This dissenting tradition would ultimately become constitutional doctrine forty years later.</w:t>
      </w:r>
      <w:r>
        <w:t xml:space="preserve"/>
      </w:r>
    </w:p>
    <w:p>
      <w:pPr>
        <w:spacing w:after="120"/>
      </w:pPr>
      <w:r>
        <w:t xml:space="preserve"/>
      </w:r>
    </w:p>
    <w:p>
      <w:r>
        <w:br w:type="page"/>
      </w:r>
    </w:p>
    <w:p>
      <w:pPr>
        <w:pStyle w:val="Heading1"/>
        <w:spacing w:after="240" w:before="360"/>
        <w:rPr>
          <w:rFonts w:ascii="Times New Roman" w:cs="Times New Roman" w:eastAsia="Times New Roman" w:hAnsi="Times New Roman"/>
          <w:b/>
          <w:bCs/>
          <w:color w:val="1F3864"/>
          <w:sz w:val="32"/>
          <w:szCs w:val="32"/>
        </w:rPr>
      </w:pPr>
      <w:r>
        <w:t xml:space="preserve">Section II: The Doctrinal Evolution — From Clear and Present Danger to Brandenburg</w:t>
      </w:r>
    </w:p>
    <w:p>
      <w:pPr>
        <w:pStyle w:val="Heading2"/>
        <w:spacing w:after="160" w:before="280"/>
        <w:rPr>
          <w:rFonts w:ascii="Times New Roman" w:cs="Times New Roman" w:eastAsia="Times New Roman" w:hAnsi="Times New Roman"/>
          <w:b/>
          <w:bCs/>
          <w:color w:val="2E4057"/>
          <w:sz w:val="28"/>
          <w:szCs w:val="28"/>
        </w:rPr>
      </w:pPr>
      <w:r>
        <w:t xml:space="preserve">The 1919 Cases and the Founding of Modern Free Speech Law</w:t>
      </w:r>
    </w:p>
    <w:p>
      <w:pPr>
        <w:spacing w:after="180" w:line="360"/>
        <w:ind w:firstLine="720"/>
        <w:jc w:val="both"/>
      </w:pPr>
      <w:r>
        <w:rPr>
          <w:rFonts w:ascii="Times New Roman" w:cs="Times New Roman" w:eastAsia="Times New Roman" w:hAnsi="Times New Roman"/>
          <w:sz w:val="24"/>
          <w:szCs w:val="24"/>
        </w:rPr>
        <w:t xml:space="preserve">The Supreme Court's 1919 decisions established the first systematic American constitutional doctrine for distinguishing protected from unprotected political speech. In </w:t>
      </w:r>
      <w:r>
        <w:rPr>
          <w:rFonts w:ascii="Times New Roman" w:cs="Times New Roman" w:eastAsia="Times New Roman" w:hAnsi="Times New Roman"/>
          <w:i/>
          <w:iCs/>
          <w:sz w:val="24"/>
          <w:szCs w:val="24"/>
        </w:rPr>
        <w:t xml:space="preserve">Schenck v. United States</w:t>
      </w:r>
      <w:r>
        <w:rPr>
          <w:rFonts w:ascii="Times New Roman" w:cs="Times New Roman" w:eastAsia="Times New Roman" w:hAnsi="Times New Roman"/>
          <w:sz w:val="24"/>
          <w:szCs w:val="24"/>
        </w:rPr>
        <w:t xml:space="preserve"> (1919), Justice Oliver Wendell Holmes — writing for a unanimous Court — upheld the conviction of a Socialist Party official who had mailed anti-draft leaflets to conscriptees. Holmes articulated what became known as the 'clear and present danger' test: speech may be restricted when it 'create[s] a clear and present danger that [it] will bring about the substantive evils that Congress has a right to prevent.' </w:t>
      </w:r>
      <w:r>
        <w:rPr>
          <w:rFonts w:ascii="Times New Roman" w:cs="Times New Roman" w:eastAsia="Times New Roman" w:hAnsi="Times New Roman"/>
          <w:i/>
          <w:iCs/>
          <w:sz w:val="24"/>
          <w:szCs w:val="24"/>
        </w:rPr>
        <w:t xml:space="preserve">(Schenck v. United States, 1919, p. 52)</w:t>
      </w:r>
      <w:r>
        <w:rPr>
          <w:rFonts w:ascii="Times New Roman" w:cs="Times New Roman" w:eastAsia="Times New Roman" w:hAnsi="Times New Roman"/>
          <w:sz w:val="24"/>
          <w:szCs w:val="24"/>
        </w:rPr>
        <w:t xml:space="preserve">. Holmes's famous example — 'the most stringent protection of free speech would not protect a man in falsely shouting fire in a theatre' — has become one of the most frequently quoted passages in American constitutional history.</w:t>
      </w:r>
    </w:p>
    <w:p>
      <w:pPr>
        <w:spacing w:after="180" w:line="360"/>
        <w:ind w:firstLine="720"/>
        <w:jc w:val="both"/>
      </w:pPr>
      <w:r>
        <w:rPr>
          <w:rFonts w:ascii="Times New Roman" w:cs="Times New Roman" w:eastAsia="Times New Roman" w:hAnsi="Times New Roman"/>
          <w:sz w:val="24"/>
          <w:szCs w:val="24"/>
        </w:rPr>
        <w:t xml:space="preserve">Eight months later, however, Holmes himself reversed course in dissent. In </w:t>
      </w:r>
      <w:r>
        <w:rPr>
          <w:rFonts w:ascii="Times New Roman" w:cs="Times New Roman" w:eastAsia="Times New Roman" w:hAnsi="Times New Roman"/>
          <w:i/>
          <w:iCs/>
          <w:sz w:val="24"/>
          <w:szCs w:val="24"/>
        </w:rPr>
        <w:t xml:space="preserve">Abrams v. United States</w:t>
      </w:r>
      <w:r>
        <w:rPr>
          <w:rFonts w:ascii="Times New Roman" w:cs="Times New Roman" w:eastAsia="Times New Roman" w:hAnsi="Times New Roman"/>
          <w:sz w:val="24"/>
          <w:szCs w:val="24"/>
        </w:rPr>
        <w:t xml:space="preserve"> (1919), the Court upheld convictions under the Sedition Act of Russian immigrants who had thrown leaflets from a building in Manhattan criticizing American military intervention against the Bolshevik Revolution. Holmes, joined by Brandeis, dissented vigorously: 'I think that we should be eternally vigilant against attempts to check the expression of opinions that we loathe and believe to be fraught with death, unless they so imminently threaten immediate interference with the lawful and pressing purposes of the law that an immediate check is required to save the country.' </w:t>
      </w:r>
      <w:r>
        <w:rPr>
          <w:rFonts w:ascii="Times New Roman" w:cs="Times New Roman" w:eastAsia="Times New Roman" w:hAnsi="Times New Roman"/>
          <w:i/>
          <w:iCs/>
          <w:sz w:val="24"/>
          <w:szCs w:val="24"/>
        </w:rPr>
        <w:t xml:space="preserve">(Abrams v. United States, 1919, p. 630)</w:t>
      </w:r>
      <w:r>
        <w:rPr>
          <w:rFonts w:ascii="Times New Roman" w:cs="Times New Roman" w:eastAsia="Times New Roman" w:hAnsi="Times New Roman"/>
          <w:sz w:val="24"/>
          <w:szCs w:val="24"/>
        </w:rPr>
        <w:t xml:space="preserve"> The seeds of a more robust free speech doctrine had been planted.</w:t>
      </w:r>
    </w:p>
    <w:p>
      <w:pPr>
        <w:pStyle w:val="Heading2"/>
        <w:spacing w:after="160" w:before="280"/>
        <w:rPr>
          <w:rFonts w:ascii="Times New Roman" w:cs="Times New Roman" w:eastAsia="Times New Roman" w:hAnsi="Times New Roman"/>
          <w:b/>
          <w:bCs/>
          <w:color w:val="2E4057"/>
          <w:sz w:val="28"/>
          <w:szCs w:val="28"/>
        </w:rPr>
      </w:pPr>
      <w:r>
        <w:t xml:space="preserve">The Smith Act Era and Its Judicial Limitation</w:t>
      </w:r>
    </w:p>
    <w:p>
      <w:pPr>
        <w:spacing w:after="180" w:line="360"/>
        <w:ind w:firstLine="720"/>
        <w:jc w:val="both"/>
      </w:pPr>
      <w:r>
        <w:rPr>
          <w:rFonts w:ascii="Times New Roman" w:cs="Times New Roman" w:eastAsia="Times New Roman" w:hAnsi="Times New Roman"/>
          <w:sz w:val="24"/>
          <w:szCs w:val="24"/>
        </w:rPr>
        <w:t xml:space="preserve">The Smith Act, formally the Alien Registration Act of 1940, was enacted in a period of renewed anxiety about foreign subversion — initially directed at both Nazi and Communist sympathizers </w:t>
      </w:r>
      <w:r>
        <w:rPr>
          <w:rFonts w:ascii="Times New Roman" w:cs="Times New Roman" w:eastAsia="Times New Roman" w:hAnsi="Times New Roman"/>
          <w:i/>
          <w:iCs/>
          <w:sz w:val="24"/>
          <w:szCs w:val="24"/>
        </w:rPr>
        <w:t xml:space="preserve">(Alien Registration Act, 1940)</w:t>
      </w:r>
      <w:r>
        <w:rPr>
          <w:rFonts w:ascii="Times New Roman" w:cs="Times New Roman" w:eastAsia="Times New Roman" w:hAnsi="Times New Roman"/>
          <w:sz w:val="24"/>
          <w:szCs w:val="24"/>
        </w:rPr>
        <w:t xml:space="preserve">. Its core provision, codified at 18 U.S.C. § 2385, criminalized the knowing advocacy, abetting, advising, or teaching of the necessity or desirability of overthrowing any government of the United States by force or violence. It also criminalized membership in any organization that so advocated.</w:t>
      </w:r>
    </w:p>
    <w:p>
      <w:pPr>
        <w:spacing w:after="180" w:line="360"/>
        <w:ind w:firstLine="720"/>
        <w:jc w:val="both"/>
      </w:pPr>
      <w:r>
        <w:rPr>
          <w:rFonts w:ascii="Times New Roman" w:cs="Times New Roman" w:eastAsia="Times New Roman" w:hAnsi="Times New Roman"/>
          <w:sz w:val="24"/>
          <w:szCs w:val="24"/>
        </w:rPr>
        <w:t xml:space="preserve">The Smith Act's constitutional moment came with </w:t>
      </w:r>
      <w:r>
        <w:rPr>
          <w:rFonts w:ascii="Times New Roman" w:cs="Times New Roman" w:eastAsia="Times New Roman" w:hAnsi="Times New Roman"/>
          <w:i/>
          <w:iCs/>
          <w:sz w:val="24"/>
          <w:szCs w:val="24"/>
        </w:rPr>
        <w:t xml:space="preserve">Dennis v. United States</w:t>
      </w:r>
      <w:r>
        <w:rPr>
          <w:rFonts w:ascii="Times New Roman" w:cs="Times New Roman" w:eastAsia="Times New Roman" w:hAnsi="Times New Roman"/>
          <w:sz w:val="24"/>
          <w:szCs w:val="24"/>
        </w:rPr>
        <w:t xml:space="preserve"> (1951), in which the Supreme Court upheld, 6–2, the convictions of twelve leaders of the Communist Party USA who had been charged with conspiring to advocate the violent overthrow of the government. Chief Justice Vinson's plurality opinion adopted a modified version of the clear and present danger test that asked whether the gravity of the evil, discounted by its improbability, justified the restriction. Given the perceived magnitude of the Communist threat — the Soviet Union had tested its first atomic bomb in 1949, and the Korean War had begun in 1950 — the Court found the balance tipped heavily toward the government </w:t>
      </w:r>
      <w:r>
        <w:rPr>
          <w:rFonts w:ascii="Times New Roman" w:cs="Times New Roman" w:eastAsia="Times New Roman" w:hAnsi="Times New Roman"/>
          <w:i/>
          <w:iCs/>
          <w:sz w:val="24"/>
          <w:szCs w:val="24"/>
        </w:rPr>
        <w:t xml:space="preserve">(Dennis v. United States, 1951)</w:t>
      </w:r>
      <w:r>
        <w:rPr>
          <w:rFonts w:ascii="Times New Roman" w:cs="Times New Roman" w:eastAsia="Times New Roman" w:hAnsi="Times New Roman"/>
          <w:sz w:val="24"/>
          <w:szCs w:val="24"/>
        </w:rPr>
        <w:t xml:space="preserve">.</w:t>
      </w:r>
    </w:p>
    <w:p>
      <w:pPr>
        <w:spacing w:after="180" w:line="360"/>
        <w:ind w:firstLine="720"/>
        <w:jc w:val="both"/>
      </w:pPr>
      <w:r>
        <w:rPr>
          <w:rFonts w:ascii="Times New Roman" w:cs="Times New Roman" w:eastAsia="Times New Roman" w:hAnsi="Times New Roman"/>
          <w:sz w:val="24"/>
          <w:szCs w:val="24"/>
        </w:rPr>
        <w:t xml:space="preserve">Dennis appeared to greenlight aggressive Smith Act enforcement. The Justice Department proceeded to prosecute second-tier Communist Party leaders across the country. But in </w:t>
      </w:r>
      <w:r>
        <w:rPr>
          <w:rFonts w:ascii="Times New Roman" w:cs="Times New Roman" w:eastAsia="Times New Roman" w:hAnsi="Times New Roman"/>
          <w:i/>
          <w:iCs/>
          <w:sz w:val="24"/>
          <w:szCs w:val="24"/>
        </w:rPr>
        <w:t xml:space="preserve">Yates v. United States</w:t>
      </w:r>
      <w:r>
        <w:rPr>
          <w:rFonts w:ascii="Times New Roman" w:cs="Times New Roman" w:eastAsia="Times New Roman" w:hAnsi="Times New Roman"/>
          <w:sz w:val="24"/>
          <w:szCs w:val="24"/>
        </w:rPr>
        <w:t xml:space="preserve"> (1957), the Court substantially narrowed the holding. Justice Harlan's majority opinion drew a critical distinction: the Smith Act prohibited advocacy of </w:t>
      </w:r>
      <w:r>
        <w:rPr>
          <w:rFonts w:ascii="Times New Roman" w:cs="Times New Roman" w:eastAsia="Times New Roman" w:hAnsi="Times New Roman"/>
          <w:i/>
          <w:iCs/>
          <w:sz w:val="24"/>
          <w:szCs w:val="24"/>
        </w:rPr>
        <w:t xml:space="preserve">action</w:t>
      </w:r>
      <w:r>
        <w:rPr>
          <w:rFonts w:ascii="Times New Roman" w:cs="Times New Roman" w:eastAsia="Times New Roman" w:hAnsi="Times New Roman"/>
          <w:sz w:val="24"/>
          <w:szCs w:val="24"/>
        </w:rPr>
        <w:t xml:space="preserve"> — organizing and recruiting people to engage in violent overthrow — but not the abstract advocacy of Communist </w:t>
      </w:r>
      <w:r>
        <w:rPr>
          <w:rFonts w:ascii="Times New Roman" w:cs="Times New Roman" w:eastAsia="Times New Roman" w:hAnsi="Times New Roman"/>
          <w:i/>
          <w:iCs/>
          <w:sz w:val="24"/>
          <w:szCs w:val="24"/>
        </w:rPr>
        <w:t xml:space="preserve">doctrine</w:t>
      </w:r>
      <w:r>
        <w:rPr>
          <w:rFonts w:ascii="Times New Roman" w:cs="Times New Roman" w:eastAsia="Times New Roman" w:hAnsi="Times New Roman"/>
          <w:sz w:val="24"/>
          <w:szCs w:val="24"/>
        </w:rPr>
        <w:t xml:space="preserve"> as a theoretical proposition. The difference between 'we must overthrow the government by force at the earliest practicable opportunity' and 'a proletarian revolution will historically and inevitably produce a classless society' was, legally, the difference between criminal and protected speech </w:t>
      </w:r>
      <w:r>
        <w:rPr>
          <w:rFonts w:ascii="Times New Roman" w:cs="Times New Roman" w:eastAsia="Times New Roman" w:hAnsi="Times New Roman"/>
          <w:i/>
          <w:iCs/>
          <w:sz w:val="24"/>
          <w:szCs w:val="24"/>
        </w:rPr>
        <w:t xml:space="preserve">(Yates v. United States, 1957)</w:t>
      </w:r>
      <w:r>
        <w:rPr>
          <w:rFonts w:ascii="Times New Roman" w:cs="Times New Roman" w:eastAsia="Times New Roman" w:hAnsi="Times New Roman"/>
          <w:sz w:val="24"/>
          <w:szCs w:val="24"/>
        </w:rPr>
        <w:t xml:space="preserve">. The decision reversed the convictions of fourteen defendants and effectively ended the Smith Act prosecution campaign.</w:t>
      </w:r>
    </w:p>
    <w:p>
      <w:pPr>
        <w:pStyle w:val="Heading2"/>
        <w:spacing w:after="160" w:before="280"/>
        <w:rPr>
          <w:rFonts w:ascii="Times New Roman" w:cs="Times New Roman" w:eastAsia="Times New Roman" w:hAnsi="Times New Roman"/>
          <w:b/>
          <w:bCs/>
          <w:color w:val="2E4057"/>
          <w:sz w:val="28"/>
          <w:szCs w:val="28"/>
        </w:rPr>
      </w:pPr>
      <w:r>
        <w:t xml:space="preserve">Brandenburg v. Ohio — The Decisive Turning Point</w:t>
      </w:r>
    </w:p>
    <w:p>
      <w:pPr>
        <w:spacing w:after="180" w:line="360"/>
        <w:ind w:firstLine="720"/>
        <w:jc w:val="both"/>
      </w:pPr>
      <w:r>
        <w:rPr>
          <w:rFonts w:ascii="Times New Roman" w:cs="Times New Roman" w:eastAsia="Times New Roman" w:hAnsi="Times New Roman"/>
          <w:sz w:val="24"/>
          <w:szCs w:val="24"/>
        </w:rPr>
        <w:t xml:space="preserve">The definitive statement of modern American free speech doctrine came in </w:t>
      </w:r>
      <w:r>
        <w:rPr>
          <w:rFonts w:ascii="Times New Roman" w:cs="Times New Roman" w:eastAsia="Times New Roman" w:hAnsi="Times New Roman"/>
          <w:i/>
          <w:iCs/>
          <w:sz w:val="24"/>
          <w:szCs w:val="24"/>
        </w:rPr>
        <w:t xml:space="preserve">Brandenburg v. Ohio</w:t>
      </w:r>
      <w:r>
        <w:rPr>
          <w:rFonts w:ascii="Times New Roman" w:cs="Times New Roman" w:eastAsia="Times New Roman" w:hAnsi="Times New Roman"/>
          <w:sz w:val="24"/>
          <w:szCs w:val="24"/>
        </w:rPr>
        <w:t xml:space="preserve"> (1969). The case arose from the prosecution of Clarence Brandenburg, a Ku Klux Klan leader in Ohio, for a speech at a Klan rally that included statements such as 'if our President, our Congress, our Supreme Court, continues to suppress the white, Caucasian race, it's possible that there might have to be some revengeance [sic] taken.' Brandenburg was convicted under Ohio's Criminal Syndicalism Act. A unanimous Supreme Court reversed the conviction.</w:t>
      </w:r>
    </w:p>
    <w:p>
      <w:pPr>
        <w:spacing w:after="180" w:line="360"/>
        <w:ind w:firstLine="720"/>
        <w:jc w:val="both"/>
      </w:pPr>
      <w:r>
        <w:rPr>
          <w:rFonts w:ascii="Times New Roman" w:cs="Times New Roman" w:eastAsia="Times New Roman" w:hAnsi="Times New Roman"/>
          <w:sz w:val="24"/>
          <w:szCs w:val="24"/>
        </w:rPr>
        <w:t xml:space="preserve">The Court established the standard that governs to this day: the constitutional guarantees of free speech and free press 'do not permit a State to forbid or proscribe advocacy of the use of force or of law violation except where such advocacy is directed to inciting or producing </w:t>
      </w:r>
      <w:r>
        <w:rPr>
          <w:rFonts w:ascii="Times New Roman" w:cs="Times New Roman" w:eastAsia="Times New Roman" w:hAnsi="Times New Roman"/>
          <w:i/>
          <w:iCs/>
          <w:sz w:val="24"/>
          <w:szCs w:val="24"/>
        </w:rPr>
        <w:t xml:space="preserve">imminent</w:t>
      </w:r>
      <w:r>
        <w:rPr>
          <w:rFonts w:ascii="Times New Roman" w:cs="Times New Roman" w:eastAsia="Times New Roman" w:hAnsi="Times New Roman"/>
          <w:sz w:val="24"/>
          <w:szCs w:val="24"/>
        </w:rPr>
        <w:t xml:space="preserve"> lawless action and is </w:t>
      </w:r>
      <w:r>
        <w:rPr>
          <w:rFonts w:ascii="Times New Roman" w:cs="Times New Roman" w:eastAsia="Times New Roman" w:hAnsi="Times New Roman"/>
          <w:i/>
          <w:iCs/>
          <w:sz w:val="24"/>
          <w:szCs w:val="24"/>
        </w:rPr>
        <w:t xml:space="preserve">likely</w:t>
      </w:r>
      <w:r>
        <w:rPr>
          <w:rFonts w:ascii="Times New Roman" w:cs="Times New Roman" w:eastAsia="Times New Roman" w:hAnsi="Times New Roman"/>
          <w:sz w:val="24"/>
          <w:szCs w:val="24"/>
        </w:rPr>
        <w:t xml:space="preserve"> to incite or produce such action.' </w:t>
      </w:r>
      <w:r>
        <w:rPr>
          <w:rFonts w:ascii="Times New Roman" w:cs="Times New Roman" w:eastAsia="Times New Roman" w:hAnsi="Times New Roman"/>
          <w:i/>
          <w:iCs/>
          <w:sz w:val="24"/>
          <w:szCs w:val="24"/>
        </w:rPr>
        <w:t xml:space="preserve">(Brandenburg v. Ohio, 1969, p. 447)</w:t>
      </w:r>
      <w:r>
        <w:rPr>
          <w:rFonts w:ascii="Times New Roman" w:cs="Times New Roman" w:eastAsia="Times New Roman" w:hAnsi="Times New Roman"/>
          <w:sz w:val="24"/>
          <w:szCs w:val="24"/>
        </w:rPr>
        <w:t xml:space="preserve"> Two requirements must both be satisfied — direction toward imminence AND likelihood of producing that result. Generic political advocacy, however extreme or repugnant, does not meet this test. </w:t>
      </w:r>
    </w:p>
    <w:p>
      <w:pPr>
        <w:spacing w:after="180" w:line="360"/>
        <w:ind w:firstLine="720"/>
        <w:jc w:val="both"/>
      </w:pPr>
      <w:r>
        <w:rPr>
          <w:rFonts w:ascii="Times New Roman" w:cs="Times New Roman" w:eastAsia="Times New Roman" w:hAnsi="Times New Roman"/>
          <w:sz w:val="24"/>
          <w:szCs w:val="24"/>
        </w:rPr>
        <w:t xml:space="preserve">The practical consequence of Brandenburg for anti-subversion law was immediate and sweeping. A statute like the Smith Act's advocacy provision — which criminalizes teaching the 'necessity or desirability' of overthrowing the government as an abstract proposition — cannot survive a Brandenburg challenge. A Communist who lectures on Das Kapital, publishes a manifesto, or harangues a crowd about the inevitable proletarian revolution is engaged in protected speech. Brandenburg does not ask whether the ideas are dangerous; it asks whether the specific utterance was aimed at producing imminent illegal action and was likely to do so. Most political advocacy — including most radical political advocacy — fails this test.</w:t>
      </w:r>
    </w:p>
    <w:p>
      <w:pPr>
        <w:spacing w:after="180" w:line="360"/>
        <w:ind w:firstLine="720"/>
        <w:jc w:val="both"/>
      </w:pPr>
      <w:r>
        <w:rPr>
          <w:rFonts w:ascii="Times New Roman" w:cs="Times New Roman" w:eastAsia="Times New Roman" w:hAnsi="Times New Roman"/>
          <w:sz w:val="24"/>
          <w:szCs w:val="24"/>
        </w:rPr>
        <w:t xml:space="preserve">Two years before </w:t>
      </w:r>
      <w:r>
        <w:rPr>
          <w:rFonts w:ascii="Times New Roman" w:cs="Times New Roman" w:eastAsia="Times New Roman" w:hAnsi="Times New Roman"/>
          <w:i/>
          <w:iCs/>
          <w:sz w:val="24"/>
          <w:szCs w:val="24"/>
        </w:rPr>
        <w:t xml:space="preserve">Brandenburg</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Albertson v. Subversive Activities Control Board</w:t>
      </w:r>
      <w:r>
        <w:rPr>
          <w:rFonts w:ascii="Times New Roman" w:cs="Times New Roman" w:eastAsia="Times New Roman" w:hAnsi="Times New Roman"/>
          <w:sz w:val="24"/>
          <w:szCs w:val="24"/>
        </w:rPr>
        <w:t xml:space="preserve"> (1965) had gutted the McCarran Internal Security Act's registration requirement. The Act had required members of 'Communist-action organizations' to register with the Subversive Activities Control Board. The Court held that this requirement violated the Fifth Amendment privilege against self-incrimination: requiring someone to register as a Communist was requiring them to admit membership in an organization whose members could be prosecuted under the Smith Act </w:t>
      </w:r>
      <w:r>
        <w:rPr>
          <w:rFonts w:ascii="Times New Roman" w:cs="Times New Roman" w:eastAsia="Times New Roman" w:hAnsi="Times New Roman"/>
          <w:i/>
          <w:iCs/>
          <w:sz w:val="24"/>
          <w:szCs w:val="24"/>
        </w:rPr>
        <w:t xml:space="preserve">(Albertson v. Subversive Activities Control Board, 1965)</w:t>
      </w:r>
      <w:r>
        <w:rPr>
          <w:rFonts w:ascii="Times New Roman" w:cs="Times New Roman" w:eastAsia="Times New Roman" w:hAnsi="Times New Roman"/>
          <w:sz w:val="24"/>
          <w:szCs w:val="24"/>
        </w:rPr>
        <w:t xml:space="preserve">. The registration mechanism at the heart of the McCarran Act's enforcement architecture was thus eliminated.</w:t>
      </w:r>
    </w:p>
    <w:p>
      <w:r>
        <w:br w:type="page"/>
      </w:r>
    </w:p>
    <w:p>
      <w:pPr>
        <w:pStyle w:val="Heading1"/>
        <w:spacing w:after="240" w:before="360"/>
        <w:rPr>
          <w:rFonts w:ascii="Times New Roman" w:cs="Times New Roman" w:eastAsia="Times New Roman" w:hAnsi="Times New Roman"/>
          <w:b/>
          <w:bCs/>
          <w:color w:val="1F3864"/>
          <w:sz w:val="32"/>
          <w:szCs w:val="32"/>
        </w:rPr>
      </w:pPr>
      <w:r>
        <w:t xml:space="preserve">Section III: The Statutes That Survived — A Comparative Analysis</w:t>
      </w:r>
    </w:p>
    <w:p>
      <w:pPr>
        <w:pStyle w:val="Heading2"/>
        <w:spacing w:after="160" w:before="280"/>
        <w:rPr>
          <w:rFonts w:ascii="Times New Roman" w:cs="Times New Roman" w:eastAsia="Times New Roman" w:hAnsi="Times New Roman"/>
          <w:b/>
          <w:bCs/>
          <w:color w:val="2E4057"/>
          <w:sz w:val="28"/>
          <w:szCs w:val="28"/>
        </w:rPr>
      </w:pPr>
      <w:r>
        <w:t xml:space="preserve">The Espionage Act of 1917 — The Most Durable Survivor</w:t>
      </w:r>
    </w:p>
    <w:p>
      <w:pPr>
        <w:spacing w:after="180" w:line="360"/>
        <w:ind w:firstLine="720"/>
        <w:jc w:val="both"/>
      </w:pPr>
      <w:r>
        <w:rPr>
          <w:rFonts w:ascii="Times New Roman" w:cs="Times New Roman" w:eastAsia="Times New Roman" w:hAnsi="Times New Roman"/>
          <w:sz w:val="24"/>
          <w:szCs w:val="24"/>
        </w:rPr>
        <w:t xml:space="preserve">While the Sedition Act of 1918 was repealed and the Smith Act was judicially narrowed into effective disuse, the Espionage Act of 1917 </w:t>
      </w:r>
      <w:r>
        <w:rPr>
          <w:rFonts w:ascii="Times New Roman" w:cs="Times New Roman" w:eastAsia="Times New Roman" w:hAnsi="Times New Roman"/>
          <w:i/>
          <w:iCs/>
          <w:sz w:val="24"/>
          <w:szCs w:val="24"/>
        </w:rPr>
        <w:t xml:space="preserve">(Pub. L. No. 65-24, 40 Stat. 217, 1917)</w:t>
      </w:r>
      <w:r>
        <w:rPr>
          <w:rFonts w:ascii="Times New Roman" w:cs="Times New Roman" w:eastAsia="Times New Roman" w:hAnsi="Times New Roman"/>
          <w:sz w:val="24"/>
          <w:szCs w:val="24"/>
        </w:rPr>
        <w:t xml:space="preserve">, codified principally at 18 U.S.C. §§ 793–798, remains the most actively enforced national security statute in federal law. Its durability reflects a key structural feature: it targets the </w:t>
      </w:r>
      <w:r>
        <w:rPr>
          <w:rFonts w:ascii="Times New Roman" w:cs="Times New Roman" w:eastAsia="Times New Roman" w:hAnsi="Times New Roman"/>
          <w:i/>
          <w:iCs/>
          <w:sz w:val="24"/>
          <w:szCs w:val="24"/>
        </w:rPr>
        <w:t xml:space="preserve">disclosure</w:t>
      </w:r>
      <w:r>
        <w:rPr>
          <w:rFonts w:ascii="Times New Roman" w:cs="Times New Roman" w:eastAsia="Times New Roman" w:hAnsi="Times New Roman"/>
          <w:sz w:val="24"/>
          <w:szCs w:val="24"/>
        </w:rPr>
        <w:t xml:space="preserve"> and </w:t>
      </w:r>
      <w:r>
        <w:rPr>
          <w:rFonts w:ascii="Times New Roman" w:cs="Times New Roman" w:eastAsia="Times New Roman" w:hAnsi="Times New Roman"/>
          <w:i/>
          <w:iCs/>
          <w:sz w:val="24"/>
          <w:szCs w:val="24"/>
        </w:rPr>
        <w:t xml:space="preserve">transmission</w:t>
      </w:r>
      <w:r>
        <w:rPr>
          <w:rFonts w:ascii="Times New Roman" w:cs="Times New Roman" w:eastAsia="Times New Roman" w:hAnsi="Times New Roman"/>
          <w:sz w:val="24"/>
          <w:szCs w:val="24"/>
        </w:rPr>
        <w:t xml:space="preserve"> of information relating to national defense — conduct, not speech. The Act does not criminalize the political ideas of those who disclose classified information; it criminalizes the act of disclosure itself.</w:t>
      </w:r>
    </w:p>
    <w:p>
      <w:pPr>
        <w:spacing w:after="180" w:line="360"/>
        <w:ind w:firstLine="720"/>
        <w:jc w:val="both"/>
      </w:pPr>
      <w:r>
        <w:rPr>
          <w:rFonts w:ascii="Times New Roman" w:cs="Times New Roman" w:eastAsia="Times New Roman" w:hAnsi="Times New Roman"/>
          <w:sz w:val="24"/>
          <w:szCs w:val="24"/>
        </w:rPr>
        <w:t xml:space="preserve">The Act's application in the modern era has focused primarily on government insiders who leak classified information — intelligence analysts, military personnel, contractors — and has generated consistent controversy about its scope and proportionality. The cases have nonetheless produced convictions:</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Chelsea Manning</w:t>
      </w:r>
      <w:r>
        <w:rPr>
          <w:rFonts w:ascii="Times New Roman" w:cs="Times New Roman" w:eastAsia="Times New Roman" w:hAnsi="Times New Roman"/>
          <w:sz w:val="24"/>
          <w:szCs w:val="24"/>
        </w:rPr>
        <w:t xml:space="preserve">, an Army intelligence analyst who transmitted approximately 750,000 classified military and diplomatic documents to WikiLeaks, was convicted of multiple Espionage Act counts and sentenced to 35 years in 2013 </w:t>
      </w:r>
      <w:r>
        <w:rPr>
          <w:rFonts w:ascii="Times New Roman" w:cs="Times New Roman" w:eastAsia="Times New Roman" w:hAnsi="Times New Roman"/>
          <w:i/>
          <w:iCs/>
          <w:sz w:val="24"/>
          <w:szCs w:val="24"/>
        </w:rPr>
        <w:t xml:space="preserve">(United States v. Manning, 2013)</w:t>
      </w:r>
      <w:r>
        <w:rPr>
          <w:rFonts w:ascii="Times New Roman" w:cs="Times New Roman" w:eastAsia="Times New Roman" w:hAnsi="Times New Roman"/>
          <w:sz w:val="24"/>
          <w:szCs w:val="24"/>
        </w:rPr>
        <w:t xml:space="preserve">. Her sentence was commuted by President Obama in 2017.</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Reality Winner</w:t>
      </w:r>
      <w:r>
        <w:rPr>
          <w:rFonts w:ascii="Times New Roman" w:cs="Times New Roman" w:eastAsia="Times New Roman" w:hAnsi="Times New Roman"/>
          <w:sz w:val="24"/>
          <w:szCs w:val="24"/>
        </w:rPr>
        <w:t xml:space="preserve">, an NSA contractor who leaked a single classified report on Russian election interference, was sentenced to 63 months in federal prison — the longest Espionage Act sentence at that time for an unauthorized disclosure </w:t>
      </w:r>
      <w:r>
        <w:rPr>
          <w:rFonts w:ascii="Times New Roman" w:cs="Times New Roman" w:eastAsia="Times New Roman" w:hAnsi="Times New Roman"/>
          <w:i/>
          <w:iCs/>
          <w:sz w:val="24"/>
          <w:szCs w:val="24"/>
        </w:rPr>
        <w:t xml:space="preserve">(United States v. Winner, 2018)</w:t>
      </w:r>
      <w:r>
        <w:rPr>
          <w:rFonts w:ascii="Times New Roman" w:cs="Times New Roman" w:eastAsia="Times New Roman" w:hAnsi="Times New Roman"/>
          <w:sz w:val="24"/>
          <w:szCs w:val="24"/>
        </w:rPr>
        <w:t xml:space="preserve">.</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Jack Teixeira</w:t>
      </w:r>
      <w:r>
        <w:rPr>
          <w:rFonts w:ascii="Times New Roman" w:cs="Times New Roman" w:eastAsia="Times New Roman" w:hAnsi="Times New Roman"/>
          <w:sz w:val="24"/>
          <w:szCs w:val="24"/>
        </w:rPr>
        <w:t xml:space="preserve">, a Massachusetts Air National Guard airman who posted hundreds of classified intelligence documents in a Discord chat server, was charged in April 2023 and pleaded guilty in 2024 </w:t>
      </w:r>
      <w:r>
        <w:rPr>
          <w:rFonts w:ascii="Times New Roman" w:cs="Times New Roman" w:eastAsia="Times New Roman" w:hAnsi="Times New Roman"/>
          <w:i/>
          <w:iCs/>
          <w:sz w:val="24"/>
          <w:szCs w:val="24"/>
        </w:rPr>
        <w:t xml:space="preserve">(United States v. Teixeira, 2023)</w:t>
      </w:r>
      <w:r>
        <w:rPr>
          <w:rFonts w:ascii="Times New Roman" w:cs="Times New Roman" w:eastAsia="Times New Roman" w:hAnsi="Times New Roman"/>
          <w:sz w:val="24"/>
          <w:szCs w:val="24"/>
        </w:rPr>
        <w:t xml:space="preserve">.</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Former President Donald Trump was charged in June 2023 with 31 counts of willful retention of national defense information under the Espionage Act following his handling of classified documents at Mar-a-Lago. The charges were ultimately dismissed after his election victory; however, the indictment itself demonstrated that Espionage Act prosecution extends to the highest levels of government.</w:t>
      </w:r>
    </w:p>
    <w:p>
      <w:pPr>
        <w:spacing w:after="120"/>
      </w:pPr>
      <w:r>
        <w:t xml:space="preserve"/>
      </w:r>
    </w:p>
    <w:p>
      <w:pPr>
        <w:spacing w:after="180" w:line="360"/>
        <w:ind w:firstLine="720"/>
        <w:jc w:val="both"/>
      </w:pPr>
      <w:r>
        <w:rPr>
          <w:rFonts w:ascii="Times New Roman" w:cs="Times New Roman" w:eastAsia="Times New Roman" w:hAnsi="Times New Roman"/>
          <w:sz w:val="24"/>
          <w:szCs w:val="24"/>
        </w:rPr>
        <w:t xml:space="preserve">The Espionage Act's critics — including many civil libertarians and press freedom advocates — argue that it was designed for traditional espionage and is being misapplied to journalists' sources and whistleblowers. The statute contains no public interest defense and makes no distinction between the spy and the whistleblower. This critique is ongoing; the statute, whatever its policy defects, remains fully operative and actively enforced.</w:t>
      </w:r>
    </w:p>
    <w:p>
      <w:pPr>
        <w:pStyle w:val="Heading2"/>
        <w:spacing w:after="160" w:before="280"/>
        <w:rPr>
          <w:rFonts w:ascii="Times New Roman" w:cs="Times New Roman" w:eastAsia="Times New Roman" w:hAnsi="Times New Roman"/>
          <w:b/>
          <w:bCs/>
          <w:color w:val="2E4057"/>
          <w:sz w:val="28"/>
          <w:szCs w:val="28"/>
        </w:rPr>
      </w:pPr>
      <w:r>
        <w:t xml:space="preserve">18 U.S.C. §§ 2383 and 2384 — Insurrection and Seditious Conspiracy</w:t>
      </w:r>
    </w:p>
    <w:p>
      <w:pPr>
        <w:spacing w:after="180" w:line="360"/>
        <w:ind w:firstLine="720"/>
        <w:jc w:val="both"/>
      </w:pPr>
      <w:r>
        <w:rPr>
          <w:rFonts w:ascii="Times New Roman" w:cs="Times New Roman" w:eastAsia="Times New Roman" w:hAnsi="Times New Roman"/>
          <w:sz w:val="24"/>
          <w:szCs w:val="24"/>
        </w:rPr>
        <w:t xml:space="preserve">Two statutes in the same chapter as the Smith Act have proven far more durable precisely because they target </w:t>
      </w:r>
      <w:r>
        <w:rPr>
          <w:rFonts w:ascii="Times New Roman" w:cs="Times New Roman" w:eastAsia="Times New Roman" w:hAnsi="Times New Roman"/>
          <w:i/>
          <w:iCs/>
          <w:sz w:val="24"/>
          <w:szCs w:val="24"/>
        </w:rPr>
        <w:t xml:space="preserve">conduct</w:t>
      </w:r>
      <w:r>
        <w:rPr>
          <w:rFonts w:ascii="Times New Roman" w:cs="Times New Roman" w:eastAsia="Times New Roman" w:hAnsi="Times New Roman"/>
          <w:sz w:val="24"/>
          <w:szCs w:val="24"/>
        </w:rPr>
        <w:t xml:space="preserve"> — conspiracy and insurrection — rather than speech. Section 2383, titled 'Rebellion or insurrection,' imposes up to ten years in prison and permanent disqualification from federal office on any person who 'incites, sets on foot, assists, or engages in any rebellion or insurrection against the authority of the United States or the laws thereof, or gives aid or comfort thereto' </w:t>
      </w:r>
      <w:r>
        <w:rPr>
          <w:rFonts w:ascii="Times New Roman" w:cs="Times New Roman" w:eastAsia="Times New Roman" w:hAnsi="Times New Roman"/>
          <w:i/>
          <w:iCs/>
          <w:sz w:val="24"/>
          <w:szCs w:val="24"/>
        </w:rPr>
        <w:t xml:space="preserve">(18 U.S.C. § 2383, 2018)</w:t>
      </w:r>
      <w:r>
        <w:rPr>
          <w:rFonts w:ascii="Times New Roman" w:cs="Times New Roman" w:eastAsia="Times New Roman" w:hAnsi="Times New Roman"/>
          <w:sz w:val="24"/>
          <w:szCs w:val="24"/>
        </w:rPr>
        <w:t xml:space="preserve">. Section 2384, titled 'Seditious conspiracy,' imposes up to twenty years on any two or more persons who 'conspire to overthrow, put down, or to destroy by force the Government of the United States, or to levy war against them, or to oppose by force the authority thereof' </w:t>
      </w:r>
      <w:r>
        <w:rPr>
          <w:rFonts w:ascii="Times New Roman" w:cs="Times New Roman" w:eastAsia="Times New Roman" w:hAnsi="Times New Roman"/>
          <w:i/>
          <w:iCs/>
          <w:sz w:val="24"/>
          <w:szCs w:val="24"/>
        </w:rPr>
        <w:t xml:space="preserve">(18 U.S.C. § 2384, 2018)</w:t>
      </w:r>
      <w:r>
        <w:rPr>
          <w:rFonts w:ascii="Times New Roman" w:cs="Times New Roman" w:eastAsia="Times New Roman" w:hAnsi="Times New Roman"/>
          <w:sz w:val="24"/>
          <w:szCs w:val="24"/>
        </w:rPr>
        <w:t xml:space="preserve">.</w:t>
      </w:r>
    </w:p>
    <w:p>
      <w:pPr>
        <w:spacing w:after="180" w:line="360"/>
        <w:ind w:firstLine="720"/>
        <w:jc w:val="both"/>
      </w:pPr>
      <w:r>
        <w:rPr>
          <w:rFonts w:ascii="Times New Roman" w:cs="Times New Roman" w:eastAsia="Times New Roman" w:hAnsi="Times New Roman"/>
          <w:sz w:val="24"/>
          <w:szCs w:val="24"/>
        </w:rPr>
        <w:t xml:space="preserve">These statutes survived the post-Brandenburg era for a straightforward reason: they describe criminal agreements and overt acts, not speech. A conspiracy requires an agreement between at least two people to commit an illegal act and an overt act in furtherance of the agreement. The First Amendment does not protect conspiratorial agreements any more than it protects contract murder. Brandenburg's 'imminent lawless action' test governs the boundary of protected speech, not the boundary of criminal conduct.</w:t>
      </w:r>
    </w:p>
    <w:p>
      <w:r>
        <w:br w:type="page"/>
      </w:r>
    </w:p>
    <w:p>
      <w:pPr>
        <w:pStyle w:val="Heading1"/>
        <w:spacing w:after="240" w:before="360"/>
        <w:rPr>
          <w:rFonts w:ascii="Times New Roman" w:cs="Times New Roman" w:eastAsia="Times New Roman" w:hAnsi="Times New Roman"/>
          <w:b/>
          <w:bCs/>
          <w:color w:val="1F3864"/>
          <w:sz w:val="32"/>
          <w:szCs w:val="32"/>
        </w:rPr>
      </w:pPr>
      <w:r>
        <w:t xml:space="preserve">Section IV: The January 6 Prosecutions — Proof of Concept</w:t>
      </w:r>
    </w:p>
    <w:p>
      <w:pPr>
        <w:pStyle w:val="Heading2"/>
        <w:spacing w:after="160" w:before="280"/>
        <w:rPr>
          <w:rFonts w:ascii="Times New Roman" w:cs="Times New Roman" w:eastAsia="Times New Roman" w:hAnsi="Times New Roman"/>
          <w:b/>
          <w:bCs/>
          <w:color w:val="2E4057"/>
          <w:sz w:val="28"/>
          <w:szCs w:val="28"/>
        </w:rPr>
      </w:pPr>
      <w:r>
        <w:t xml:space="preserve">Seditious Conspiracy in Active Use</w:t>
      </w:r>
    </w:p>
    <w:p>
      <w:pPr>
        <w:spacing w:after="180" w:line="360"/>
        <w:ind w:firstLine="720"/>
        <w:jc w:val="both"/>
      </w:pPr>
      <w:r>
        <w:rPr>
          <w:rFonts w:ascii="Times New Roman" w:cs="Times New Roman" w:eastAsia="Times New Roman" w:hAnsi="Times New Roman"/>
          <w:sz w:val="24"/>
          <w:szCs w:val="24"/>
        </w:rPr>
        <w:t xml:space="preserve">The January 6, 2021 assault on the United States Capitol produced the most significant seditious conspiracy prosecutions in American history since the Civil War era. The Department of Justice charged multiple leaders of organized groups with seditious conspiracy under 18 U.S.C. § 2384, producing landmark convictions that confirmed the statute's viability under modern constitutional doctrine.</w:t>
      </w:r>
    </w:p>
    <w:p>
      <w:pPr>
        <w:spacing w:after="180" w:line="360"/>
        <w:ind w:firstLine="720"/>
        <w:jc w:val="both"/>
      </w:pPr>
      <w:r>
        <w:rPr>
          <w:rFonts w:ascii="Times New Roman" w:cs="Times New Roman" w:eastAsia="Times New Roman" w:hAnsi="Times New Roman"/>
          <w:sz w:val="24"/>
          <w:szCs w:val="24"/>
        </w:rPr>
        <w:t xml:space="preserve">Stewart Rhodes, founder and leader of the Oath Keepers militia, was convicted of seditious conspiracy on November 29, 2022, after a jury found that he had coordinated a plan to prevent the peaceful transfer of presidential power on January 6, 2021 </w:t>
      </w:r>
      <w:r>
        <w:rPr>
          <w:rFonts w:ascii="Times New Roman" w:cs="Times New Roman" w:eastAsia="Times New Roman" w:hAnsi="Times New Roman"/>
          <w:i/>
          <w:iCs/>
          <w:sz w:val="24"/>
          <w:szCs w:val="24"/>
        </w:rPr>
        <w:t xml:space="preserve">(United States v. Rhodes et al., 2022)</w:t>
      </w:r>
      <w:r>
        <w:rPr>
          <w:rFonts w:ascii="Times New Roman" w:cs="Times New Roman" w:eastAsia="Times New Roman" w:hAnsi="Times New Roman"/>
          <w:sz w:val="24"/>
          <w:szCs w:val="24"/>
        </w:rPr>
        <w:t xml:space="preserve">. On May 25, 2023, Rhodes was sentenced to 18 years in federal prison — the longest sentence imposed in connection with the January 6 events and one of the longest domestic terrorism sentences in American history. His co-defendant Kelly Meggs was sentenced to 12 years.</w:t>
      </w:r>
    </w:p>
    <w:p>
      <w:pPr>
        <w:spacing w:after="180" w:line="360"/>
        <w:ind w:firstLine="720"/>
        <w:jc w:val="both"/>
      </w:pPr>
      <w:r>
        <w:rPr>
          <w:rFonts w:ascii="Times New Roman" w:cs="Times New Roman" w:eastAsia="Times New Roman" w:hAnsi="Times New Roman"/>
          <w:sz w:val="24"/>
          <w:szCs w:val="24"/>
        </w:rPr>
        <w:t xml:space="preserve">Enrique Tarrio, the national chairman of the Proud Boys, was convicted of seditious conspiracy on June 1, 2023, along with four co-defendants </w:t>
      </w:r>
      <w:r>
        <w:rPr>
          <w:rFonts w:ascii="Times New Roman" w:cs="Times New Roman" w:eastAsia="Times New Roman" w:hAnsi="Times New Roman"/>
          <w:i/>
          <w:iCs/>
          <w:sz w:val="24"/>
          <w:szCs w:val="24"/>
        </w:rPr>
        <w:t xml:space="preserve">(United States v. Tarrio et al., 2023)</w:t>
      </w:r>
      <w:r>
        <w:rPr>
          <w:rFonts w:ascii="Times New Roman" w:cs="Times New Roman" w:eastAsia="Times New Roman" w:hAnsi="Times New Roman"/>
          <w:sz w:val="24"/>
          <w:szCs w:val="24"/>
        </w:rPr>
        <w:t xml:space="preserve">. On September 5, 2023, Tarrio received a sentence of 22 years in federal prison — at that time the longest sentence of any January 6 defendant and the longest domestic terrorism sentence in decades. The jury found that the Proud Boys had developed and executed a coordinated plan to breach the Capitol, prevent congressional certification of the 2020 election results, and use the chaos to provide a pretext for President Trump to invoke emergency powers.</w:t>
      </w:r>
    </w:p>
    <w:p>
      <w:pPr>
        <w:spacing w:after="180" w:line="360"/>
        <w:ind w:firstLine="720"/>
        <w:jc w:val="both"/>
      </w:pPr>
      <w:r>
        <w:rPr>
          <w:rFonts w:ascii="Times New Roman" w:cs="Times New Roman" w:eastAsia="Times New Roman" w:hAnsi="Times New Roman"/>
          <w:sz w:val="24"/>
          <w:szCs w:val="24"/>
        </w:rPr>
        <w:t xml:space="preserve">These convictions are significant for this analysis for several reasons. First, they demonstrate that § 2384 is not merely a museum piece — it is an operational statute capable of sustaining complex prosecutions of organized political violence. Second, they establish that coordination to prevent constitutional governmental processes by force constitutes seditious conspiracy even when the defendants framed their actions in political and ideological terms. Third, they produced sentences measured in decades, not months — communicating a serious deterrent signal to any organized group contemplating similar action.</w:t>
      </w:r>
    </w:p>
    <w:p>
      <w:pPr>
        <w:pStyle w:val="Heading2"/>
        <w:spacing w:after="160" w:before="280"/>
        <w:rPr>
          <w:rFonts w:ascii="Times New Roman" w:cs="Times New Roman" w:eastAsia="Times New Roman" w:hAnsi="Times New Roman"/>
          <w:b/>
          <w:bCs/>
          <w:color w:val="2E4057"/>
          <w:sz w:val="28"/>
          <w:szCs w:val="28"/>
        </w:rPr>
      </w:pPr>
      <w:r>
        <w:t xml:space="preserve">The Speech/Action Boundary in Practice</w:t>
      </w:r>
    </w:p>
    <w:p>
      <w:pPr>
        <w:spacing w:after="180" w:line="360"/>
        <w:ind w:firstLine="720"/>
        <w:jc w:val="both"/>
      </w:pPr>
      <w:r>
        <w:rPr>
          <w:rFonts w:ascii="Times New Roman" w:cs="Times New Roman" w:eastAsia="Times New Roman" w:hAnsi="Times New Roman"/>
          <w:sz w:val="24"/>
          <w:szCs w:val="24"/>
        </w:rPr>
        <w:t xml:space="preserve">The January 6 prosecutions illustrate the operative principle with precision. Hundreds of January 6 defendants who entered the Capitol, trespassed, assaulted officers, or committed property destruction were convicted of lesser offenses — trespass, obstruction, assault. Some received relatively short sentences. But the organizational leaders — those who engaged in advance planning, coordination, communication, and the direction of others — crossed from protected political activity into criminal conspiracy. The distinction was not ideological (the Oath Keepers and Proud Boys were not Communists) but behavioral: did they plan a coordinated act of force against a governmental function?</w:t>
      </w:r>
    </w:p>
    <w:p>
      <w:pPr>
        <w:spacing w:after="180" w:line="360"/>
        <w:ind w:firstLine="720"/>
        <w:jc w:val="both"/>
      </w:pPr>
      <w:r>
        <w:rPr>
          <w:rFonts w:ascii="Times New Roman" w:cs="Times New Roman" w:eastAsia="Times New Roman" w:hAnsi="Times New Roman"/>
          <w:sz w:val="24"/>
          <w:szCs w:val="24"/>
        </w:rPr>
        <w:t xml:space="preserve">A Communist Party leader who publishes manifestos, organizes demonstrations, runs candidates for office, and advocates for socialist policies is engaged in activity protected by the First Amendment — including under any of the anti-subversion statutes remaining on the books. The same leader who convenes private meetings to plan the forcible seizure of government facilities, coordinates logistics across jurisdictions, and directs operatives to specific targets has committed seditious conspiracy. The law's boundary is the boundary between advocacy and conspiracy, between speech and operational planning.</w:t>
      </w:r>
    </w:p>
    <w:p>
      <w:r>
        <w:br w:type="page"/>
      </w:r>
    </w:p>
    <w:p>
      <w:pPr>
        <w:pStyle w:val="Heading1"/>
        <w:spacing w:after="240" w:before="360"/>
        <w:rPr>
          <w:rFonts w:ascii="Times New Roman" w:cs="Times New Roman" w:eastAsia="Times New Roman" w:hAnsi="Times New Roman"/>
          <w:b/>
          <w:bCs/>
          <w:color w:val="1F3864"/>
          <w:sz w:val="32"/>
          <w:szCs w:val="32"/>
        </w:rPr>
      </w:pPr>
      <w:r>
        <w:t xml:space="preserve">Section V: The Full Statutory Landscape — Current Status Table</w:t>
      </w:r>
    </w:p>
    <w:p>
      <w:pPr>
        <w:spacing w:after="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200"/>
        <w:gridCol w:w="1600"/>
        <w:gridCol w:w="2000"/>
        <w:gridCol w:w="3200"/>
      </w:tblGrid>
      <w:tr>
        <w:trPr>
          <w:tblHeader/>
        </w:trPr>
        <w:tc>
          <w:tcPr>
            <w:tcMar>
              <w:top w:type="dxa" w:w="60"/>
              <w:left w:type="dxa" w:w="120"/>
              <w:bottom w:type="dxa" w:w="60"/>
              <w:right w:type="dxa" w:w="120"/>
            </w:tcMar>
          </w:tcPr>
          <w:p>
            <w:pPr>
              <w:spacing w:after="80" w:before="80"/>
            </w:pPr>
            <w:r>
              <w:rPr>
                <w:rFonts w:ascii="Times New Roman" w:cs="Times New Roman" w:eastAsia="Times New Roman" w:hAnsi="Times New Roman"/>
                <w:b/>
                <w:bCs/>
                <w:sz w:val="20"/>
                <w:szCs w:val="20"/>
              </w:rPr>
              <w:t xml:space="preserve">Statute</w:t>
            </w:r>
          </w:p>
        </w:tc>
        <w:tc>
          <w:tcPr>
            <w:tcMar>
              <w:top w:type="dxa" w:w="60"/>
              <w:left w:type="dxa" w:w="120"/>
              <w:bottom w:type="dxa" w:w="60"/>
              <w:right w:type="dxa" w:w="120"/>
            </w:tcMar>
          </w:tcPr>
          <w:p>
            <w:pPr>
              <w:spacing w:after="80" w:before="80"/>
            </w:pPr>
            <w:r>
              <w:rPr>
                <w:rFonts w:ascii="Times New Roman" w:cs="Times New Roman" w:eastAsia="Times New Roman" w:hAnsi="Times New Roman"/>
                <w:b/>
                <w:bCs/>
                <w:sz w:val="20"/>
                <w:szCs w:val="20"/>
              </w:rPr>
              <w:t xml:space="preserve">Still Law?</w:t>
            </w:r>
          </w:p>
        </w:tc>
        <w:tc>
          <w:tcPr>
            <w:tcMar>
              <w:top w:type="dxa" w:w="60"/>
              <w:left w:type="dxa" w:w="120"/>
              <w:bottom w:type="dxa" w:w="60"/>
              <w:right w:type="dxa" w:w="120"/>
            </w:tcMar>
          </w:tcPr>
          <w:p>
            <w:pPr>
              <w:spacing w:after="80" w:before="80"/>
            </w:pPr>
            <w:r>
              <w:rPr>
                <w:rFonts w:ascii="Times New Roman" w:cs="Times New Roman" w:eastAsia="Times New Roman" w:hAnsi="Times New Roman"/>
                <w:b/>
                <w:bCs/>
                <w:sz w:val="20"/>
                <w:szCs w:val="20"/>
              </w:rPr>
              <w:t xml:space="preserve">Enforceability</w:t>
            </w:r>
          </w:p>
        </w:tc>
        <w:tc>
          <w:tcPr>
            <w:tcMar>
              <w:top w:type="dxa" w:w="60"/>
              <w:left w:type="dxa" w:w="120"/>
              <w:bottom w:type="dxa" w:w="60"/>
              <w:right w:type="dxa" w:w="120"/>
            </w:tcMar>
          </w:tcPr>
          <w:p>
            <w:pPr>
              <w:spacing w:after="80" w:before="80"/>
            </w:pPr>
            <w:r>
              <w:rPr>
                <w:rFonts w:ascii="Times New Roman" w:cs="Times New Roman" w:eastAsia="Times New Roman" w:hAnsi="Times New Roman"/>
                <w:b/>
                <w:bCs/>
                <w:sz w:val="20"/>
                <w:szCs w:val="20"/>
              </w:rPr>
              <w:t xml:space="preserve">Recent Use</w:t>
            </w:r>
          </w:p>
        </w:tc>
      </w:tr>
      <w:tr>
        <w:trPr>
          <w:tblHeader w:val="false"/>
        </w:trPr>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Sedition Act of 1918</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NO — Repealed 1921</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N/A — does not exist</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N/A</w:t>
            </w:r>
          </w:p>
        </w:tc>
      </w:tr>
      <w:tr>
        <w:trPr>
          <w:tblHeader w:val="false"/>
        </w:trPr>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Espionage Act of 1917 (18 U.S.C. §§ 793–798)</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Yes</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Actively enforced</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Manning (2013), Winner (2018), Teixeira (2023)</w:t>
            </w:r>
          </w:p>
        </w:tc>
      </w:tr>
      <w:tr>
        <w:trPr>
          <w:tblHeader w:val="false"/>
        </w:trPr>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Smith Act / 18 U.S.C. § 2385</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Yes</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Dormant — Brandenburg-neutered</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Last significant use: 1960s</w:t>
            </w:r>
          </w:p>
        </w:tc>
      </w:tr>
      <w:tr>
        <w:trPr>
          <w:tblHeader w:val="false"/>
        </w:trPr>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18 U.S.C. § 2383 (Rebellion or Insurrection)</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Yes</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Active</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Jan. 6 prosecutions</w:t>
            </w:r>
          </w:p>
        </w:tc>
      </w:tr>
      <w:tr>
        <w:trPr>
          <w:tblHeader w:val="false"/>
        </w:trPr>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18 U.S.C. § 2384 (Seditious Conspiracy)</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Yes</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Actively enforced</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Rhodes: 18 yrs (2023); Tarrio: 22 yrs (2023)</w:t>
            </w:r>
          </w:p>
        </w:tc>
      </w:tr>
      <w:tr>
        <w:trPr>
          <w:tblHeader w:val="false"/>
        </w:trPr>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Communist Control Act of 1954</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Yes — unrepealed</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Unenforceable as written</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Zero prosecutions since 1954</w:t>
            </w:r>
          </w:p>
        </w:tc>
      </w:tr>
      <w:tr>
        <w:trPr>
          <w:tblHeader w:val="false"/>
        </w:trPr>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McCarran Internal Security Act of 1950</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Largely on books</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Gutted by courts</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Albertson v. SACB (1965) — never enforced</w:t>
            </w:r>
          </w:p>
        </w:tc>
      </w:tr>
    </w:tbl>
    <w:p>
      <w:pPr>
        <w:spacing w:after="120"/>
      </w:pPr>
      <w:r>
        <w:t xml:space="preserve"/>
      </w:r>
    </w:p>
    <w:p>
      <w:pPr>
        <w:pStyle w:val="Heading2"/>
        <w:spacing w:after="160" w:before="280"/>
        <w:rPr>
          <w:rFonts w:ascii="Times New Roman" w:cs="Times New Roman" w:eastAsia="Times New Roman" w:hAnsi="Times New Roman"/>
          <w:b/>
          <w:bCs/>
          <w:color w:val="2E4057"/>
          <w:sz w:val="28"/>
          <w:szCs w:val="28"/>
        </w:rPr>
      </w:pPr>
      <w:r>
        <w:t xml:space="preserve">The Doctrinal Timeline</w:t>
      </w:r>
    </w:p>
    <w:p>
      <w:pPr>
        <w:spacing w:after="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00"/>
        <w:gridCol w:w="900"/>
        <w:gridCol w:w="5300"/>
      </w:tblGrid>
      <w:tr>
        <w:trPr>
          <w:tblHeader/>
        </w:trPr>
        <w:tc>
          <w:tcPr>
            <w:tcMar>
              <w:top w:type="dxa" w:w="60"/>
              <w:left w:type="dxa" w:w="120"/>
              <w:bottom w:type="dxa" w:w="60"/>
              <w:right w:type="dxa" w:w="120"/>
            </w:tcMar>
          </w:tcPr>
          <w:p>
            <w:pPr>
              <w:spacing w:after="80" w:before="80"/>
            </w:pPr>
            <w:r>
              <w:rPr>
                <w:rFonts w:ascii="Times New Roman" w:cs="Times New Roman" w:eastAsia="Times New Roman" w:hAnsi="Times New Roman"/>
                <w:b/>
                <w:bCs/>
                <w:sz w:val="20"/>
                <w:szCs w:val="20"/>
              </w:rPr>
              <w:t xml:space="preserve">Decision</w:t>
            </w:r>
          </w:p>
        </w:tc>
        <w:tc>
          <w:tcPr>
            <w:tcMar>
              <w:top w:type="dxa" w:w="60"/>
              <w:left w:type="dxa" w:w="120"/>
              <w:bottom w:type="dxa" w:w="60"/>
              <w:right w:type="dxa" w:w="120"/>
            </w:tcMar>
          </w:tcPr>
          <w:p>
            <w:pPr>
              <w:spacing w:after="80" w:before="80"/>
            </w:pPr>
            <w:r>
              <w:rPr>
                <w:rFonts w:ascii="Times New Roman" w:cs="Times New Roman" w:eastAsia="Times New Roman" w:hAnsi="Times New Roman"/>
                <w:b/>
                <w:bCs/>
                <w:sz w:val="20"/>
                <w:szCs w:val="20"/>
              </w:rPr>
              <w:t xml:space="preserve">Year</w:t>
            </w:r>
          </w:p>
        </w:tc>
        <w:tc>
          <w:tcPr>
            <w:tcMar>
              <w:top w:type="dxa" w:w="60"/>
              <w:left w:type="dxa" w:w="120"/>
              <w:bottom w:type="dxa" w:w="60"/>
              <w:right w:type="dxa" w:w="120"/>
            </w:tcMar>
          </w:tcPr>
          <w:p>
            <w:pPr>
              <w:spacing w:after="80" w:before="80"/>
            </w:pPr>
            <w:r>
              <w:rPr>
                <w:rFonts w:ascii="Times New Roman" w:cs="Times New Roman" w:eastAsia="Times New Roman" w:hAnsi="Times New Roman"/>
                <w:b/>
                <w:bCs/>
                <w:sz w:val="20"/>
                <w:szCs w:val="20"/>
              </w:rPr>
              <w:t xml:space="preserve">Effect on Anti-Subversion Law</w:t>
            </w:r>
          </w:p>
        </w:tc>
      </w:tr>
      <w:tr>
        <w:trPr>
          <w:tblHeader w:val="false"/>
        </w:trPr>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Schenck v. United States</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1919</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Upheld Espionage Act; coined 'clear and present danger' (narrow test)</w:t>
            </w:r>
          </w:p>
        </w:tc>
      </w:tr>
      <w:tr>
        <w:trPr>
          <w:tblHeader w:val="false"/>
        </w:trPr>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Abrams v. United States</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1919</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Upheld convictions; Holmes/Brandeis dissents planted broader free-speech protection</w:t>
            </w:r>
          </w:p>
        </w:tc>
      </w:tr>
      <w:tr>
        <w:trPr>
          <w:tblHeader w:val="false"/>
        </w:trPr>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Dennis v. United States</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1951</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Smith Act convictions of top Communist Party leaders upheld 6–2</w:t>
            </w:r>
          </w:p>
        </w:tc>
      </w:tr>
      <w:tr>
        <w:trPr>
          <w:tblHeader w:val="false"/>
        </w:trPr>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Yates v. United States</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1957</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Smith Act reversed for lower-level party members; abstract advocacy protected</w:t>
            </w:r>
          </w:p>
        </w:tc>
      </w:tr>
      <w:tr>
        <w:trPr>
          <w:tblHeader w:val="false"/>
        </w:trPr>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Noto v. United States</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1961</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Smith Act narrowed further — only concrete preparations for violence, not doctrine</w:t>
            </w:r>
          </w:p>
        </w:tc>
      </w:tr>
      <w:tr>
        <w:trPr>
          <w:tblHeader w:val="false"/>
        </w:trPr>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Brandenburg v. Ohio</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1969</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Current standard: speech protected unless directed to AND likely to produce imminent lawless action</w:t>
            </w:r>
          </w:p>
        </w:tc>
      </w:tr>
      <w:tr>
        <w:trPr>
          <w:tblHeader w:val="false"/>
        </w:trPr>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Albertson v. SACB</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1965</w:t>
            </w:r>
          </w:p>
        </w:tc>
        <w:tc>
          <w:tcPr>
            <w:tcMar>
              <w:top w:type="dxa" w:w="60"/>
              <w:left w:type="dxa" w:w="120"/>
              <w:bottom w:type="dxa" w:w="60"/>
              <w:right w:type="dxa" w:w="120"/>
            </w:tcMar>
          </w:tcPr>
          <w:p>
            <w:pPr>
              <w:spacing w:after="80" w:before="80"/>
            </w:pPr>
            <w:r>
              <w:rPr>
                <w:rFonts w:ascii="Times New Roman" w:cs="Times New Roman" w:eastAsia="Times New Roman" w:hAnsi="Times New Roman"/>
                <w:b w:val="false"/>
                <w:bCs w:val="false"/>
                <w:sz w:val="20"/>
                <w:szCs w:val="20"/>
              </w:rPr>
              <w:t xml:space="preserve">Compelled Communist Party registration violated Fifth Amendment — gutted McCarran Act</w:t>
            </w:r>
          </w:p>
        </w:tc>
      </w:tr>
    </w:tbl>
    <w:p>
      <w:pPr>
        <w:spacing w:after="120"/>
      </w:pPr>
      <w:r>
        <w:t xml:space="preserve"/>
      </w:r>
    </w:p>
    <w:p>
      <w:r>
        <w:br w:type="page"/>
      </w:r>
    </w:p>
    <w:p>
      <w:pPr>
        <w:pStyle w:val="Heading1"/>
        <w:spacing w:after="240" w:before="360"/>
        <w:rPr>
          <w:rFonts w:ascii="Times New Roman" w:cs="Times New Roman" w:eastAsia="Times New Roman" w:hAnsi="Times New Roman"/>
          <w:b/>
          <w:bCs/>
          <w:color w:val="1F3864"/>
          <w:sz w:val="32"/>
          <w:szCs w:val="32"/>
        </w:rPr>
      </w:pPr>
      <w:r>
        <w:t xml:space="preserve">Section VI: The Communist Control Act and the Zombie Statutes</w:t>
      </w:r>
    </w:p>
    <w:p>
      <w:pPr>
        <w:pStyle w:val="Heading2"/>
        <w:spacing w:after="160" w:before="280"/>
        <w:rPr>
          <w:rFonts w:ascii="Times New Roman" w:cs="Times New Roman" w:eastAsia="Times New Roman" w:hAnsi="Times New Roman"/>
          <w:b/>
          <w:bCs/>
          <w:color w:val="2E4057"/>
          <w:sz w:val="28"/>
          <w:szCs w:val="28"/>
        </w:rPr>
      </w:pPr>
      <w:r>
        <w:t xml:space="preserve">The Communist Control Act of 1954</w:t>
      </w:r>
    </w:p>
    <w:p>
      <w:pPr>
        <w:spacing w:after="180" w:line="360"/>
        <w:ind w:firstLine="720"/>
        <w:jc w:val="both"/>
      </w:pPr>
      <w:r>
        <w:rPr>
          <w:rFonts w:ascii="Times New Roman" w:cs="Times New Roman" w:eastAsia="Times New Roman" w:hAnsi="Times New Roman"/>
          <w:sz w:val="24"/>
          <w:szCs w:val="24"/>
        </w:rPr>
        <w:t xml:space="preserve">The Communist Control Act of 1954 represents perhaps the most aggressive legislative response to Communist ideology in American history — and arguably the least legally coherent </w:t>
      </w:r>
      <w:r>
        <w:rPr>
          <w:rFonts w:ascii="Times New Roman" w:cs="Times New Roman" w:eastAsia="Times New Roman" w:hAnsi="Times New Roman"/>
          <w:i/>
          <w:iCs/>
          <w:sz w:val="24"/>
          <w:szCs w:val="24"/>
        </w:rPr>
        <w:t xml:space="preserve">(Communist Control Act, Pub. L. No. 83-637, 68 Stat. 775, 1954)</w:t>
      </w:r>
      <w:r>
        <w:rPr>
          <w:rFonts w:ascii="Times New Roman" w:cs="Times New Roman" w:eastAsia="Times New Roman" w:hAnsi="Times New Roman"/>
          <w:sz w:val="24"/>
          <w:szCs w:val="24"/>
        </w:rPr>
        <w:t xml:space="preserve">. The Act declared that 'the Communist Party of the United States... is not entitled to any of the rights, privileges, and immunities attendant upon legal bodies created under the jurisdiction of the laws of the United States or any political subdivision thereof.' In other words, Congress purported to declare an entire political party legally non-existent.</w:t>
      </w:r>
    </w:p>
    <w:p>
      <w:pPr>
        <w:spacing w:after="180" w:line="360"/>
        <w:ind w:firstLine="720"/>
        <w:jc w:val="both"/>
      </w:pPr>
      <w:r>
        <w:rPr>
          <w:rFonts w:ascii="Times New Roman" w:cs="Times New Roman" w:eastAsia="Times New Roman" w:hAnsi="Times New Roman"/>
          <w:sz w:val="24"/>
          <w:szCs w:val="24"/>
        </w:rPr>
        <w:t xml:space="preserve">The Act has never been repealed. It has also never been enforced. No prosecution has ever been brought under its provisions, and its constitutionality under modern First Amendment doctrine is highly questionable. The Supreme Court has never directly ruled on it. Legal scholars generally regard it as either unenforceable on its face — because it criminalizes political association, which the First Amendment and the freedom of assembly clearly protect — or so vague in its operative provisions as to provide no usable prosecutorial mechanism.</w:t>
      </w:r>
    </w:p>
    <w:p>
      <w:pPr>
        <w:spacing w:after="180" w:line="360"/>
        <w:ind w:firstLine="720"/>
        <w:jc w:val="both"/>
      </w:pPr>
      <w:r>
        <w:rPr>
          <w:rFonts w:ascii="Times New Roman" w:cs="Times New Roman" w:eastAsia="Times New Roman" w:hAnsi="Times New Roman"/>
          <w:sz w:val="24"/>
          <w:szCs w:val="24"/>
        </w:rPr>
        <w:t xml:space="preserve">The political history of the Act's passage illustrates the difficulty of crafting effective anti-Communist legislation in a constitutional system. Congress wanted to do something dramatic in the wake of the Korean War and the McCarthy-era hysteria. What it produced was a statute that sounds sweeping but provides no enforcement mechanism that could survive constitutional scrutiny. It is a statement of congressional sentiment rather than a functional legal tool.</w:t>
      </w:r>
    </w:p>
    <w:p>
      <w:pPr>
        <w:pStyle w:val="Heading2"/>
        <w:spacing w:after="160" w:before="280"/>
        <w:rPr>
          <w:rFonts w:ascii="Times New Roman" w:cs="Times New Roman" w:eastAsia="Times New Roman" w:hAnsi="Times New Roman"/>
          <w:b/>
          <w:bCs/>
          <w:color w:val="2E4057"/>
          <w:sz w:val="28"/>
          <w:szCs w:val="28"/>
        </w:rPr>
      </w:pPr>
      <w:r>
        <w:t xml:space="preserve">The McCarran Internal Security Act — Gutted by Its Own Logic</w:t>
      </w:r>
    </w:p>
    <w:p>
      <w:pPr>
        <w:spacing w:after="180" w:line="360"/>
        <w:ind w:firstLine="720"/>
        <w:jc w:val="both"/>
      </w:pPr>
      <w:r>
        <w:rPr>
          <w:rFonts w:ascii="Times New Roman" w:cs="Times New Roman" w:eastAsia="Times New Roman" w:hAnsi="Times New Roman"/>
          <w:sz w:val="24"/>
          <w:szCs w:val="24"/>
        </w:rPr>
        <w:t xml:space="preserve">The Internal Security Act of 1950, commonly known as the McCarran Act after its Senate sponsor, took a different approach: rather than outlawing the Communist Party outright, it required 'Communist-action organizations' and 'Communist-front organizations' to register with a newly created Subversive Activities Control Board (SACB) </w:t>
      </w:r>
      <w:r>
        <w:rPr>
          <w:rFonts w:ascii="Times New Roman" w:cs="Times New Roman" w:eastAsia="Times New Roman" w:hAnsi="Times New Roman"/>
          <w:i/>
          <w:iCs/>
          <w:sz w:val="24"/>
          <w:szCs w:val="24"/>
        </w:rPr>
        <w:t xml:space="preserve">(Internal Security Act of 1950, Pub. L. No. 81-831, 64 Stat. 987, 1950)</w:t>
      </w:r>
      <w:r>
        <w:rPr>
          <w:rFonts w:ascii="Times New Roman" w:cs="Times New Roman" w:eastAsia="Times New Roman" w:hAnsi="Times New Roman"/>
          <w:sz w:val="24"/>
          <w:szCs w:val="24"/>
        </w:rPr>
        <w:t xml:space="preserve">. Registered members would be subject to various disabilities: ineligibility for passports, federal employment restrictions, and immigration consequences.</w:t>
      </w:r>
    </w:p>
    <w:p>
      <w:pPr>
        <w:spacing w:after="180" w:line="360"/>
        <w:ind w:firstLine="720"/>
        <w:jc w:val="both"/>
      </w:pPr>
      <w:r>
        <w:rPr>
          <w:rFonts w:ascii="Times New Roman" w:cs="Times New Roman" w:eastAsia="Times New Roman" w:hAnsi="Times New Roman"/>
          <w:sz w:val="24"/>
          <w:szCs w:val="24"/>
        </w:rPr>
        <w:t xml:space="preserve">The logic of the statute collapsed on contact with the Fifth Amendment. In </w:t>
      </w:r>
      <w:r>
        <w:rPr>
          <w:rFonts w:ascii="Times New Roman" w:cs="Times New Roman" w:eastAsia="Times New Roman" w:hAnsi="Times New Roman"/>
          <w:i/>
          <w:iCs/>
          <w:sz w:val="24"/>
          <w:szCs w:val="24"/>
        </w:rPr>
        <w:t xml:space="preserve">Albertson v. Subversive Activities Control Board</w:t>
      </w:r>
      <w:r>
        <w:rPr>
          <w:rFonts w:ascii="Times New Roman" w:cs="Times New Roman" w:eastAsia="Times New Roman" w:hAnsi="Times New Roman"/>
          <w:sz w:val="24"/>
          <w:szCs w:val="24"/>
        </w:rPr>
        <w:t xml:space="preserve"> (1965), the Supreme Court held that requiring an individual to register as a Communist Party member was requiring him to provide evidence that could be used to prosecute him under the Smith Act </w:t>
      </w:r>
      <w:r>
        <w:rPr>
          <w:rFonts w:ascii="Times New Roman" w:cs="Times New Roman" w:eastAsia="Times New Roman" w:hAnsi="Times New Roman"/>
          <w:i/>
          <w:iCs/>
          <w:sz w:val="24"/>
          <w:szCs w:val="24"/>
        </w:rPr>
        <w:t xml:space="preserve">(Albertson v. Subversive Activities Control Board, 1965)</w:t>
      </w:r>
      <w:r>
        <w:rPr>
          <w:rFonts w:ascii="Times New Roman" w:cs="Times New Roman" w:eastAsia="Times New Roman" w:hAnsi="Times New Roman"/>
          <w:sz w:val="24"/>
          <w:szCs w:val="24"/>
        </w:rPr>
        <w:t xml:space="preserve">. The Fifth Amendment privilege against self-incrimination therefore barred the compelled registration. The enforcement mechanism — the registration requirement — was thus judicially nullified. Congress attempted various amendments, but the SACB was ultimately abolished in 1973 having accomplished essentially nothing. The McCarran Act remains in the statute books in truncated form, but its operative provisions cannot be enforced.</w:t>
      </w:r>
    </w:p>
    <w:p>
      <w:pPr>
        <w:pStyle w:val="Heading2"/>
        <w:spacing w:after="160" w:before="280"/>
        <w:rPr>
          <w:rFonts w:ascii="Times New Roman" w:cs="Times New Roman" w:eastAsia="Times New Roman" w:hAnsi="Times New Roman"/>
          <w:b/>
          <w:bCs/>
          <w:color w:val="2E4057"/>
          <w:sz w:val="28"/>
          <w:szCs w:val="28"/>
        </w:rPr>
      </w:pPr>
      <w:r>
        <w:t xml:space="preserve">Lessons from the Zombie Statutes</w:t>
      </w:r>
    </w:p>
    <w:p>
      <w:pPr>
        <w:spacing w:after="180" w:line="360"/>
        <w:ind w:firstLine="720"/>
        <w:jc w:val="both"/>
      </w:pPr>
      <w:r>
        <w:rPr>
          <w:rFonts w:ascii="Times New Roman" w:cs="Times New Roman" w:eastAsia="Times New Roman" w:hAnsi="Times New Roman"/>
          <w:sz w:val="24"/>
          <w:szCs w:val="24"/>
        </w:rPr>
        <w:t xml:space="preserve">The history of the Communist Control Act and the McCarran Act teaches a lesson applicable to any future legislative effort to address anti-constitutional ideology through direct proscription: statutes that target ideas, associations, and identity rather than conduct face near-certain constitutional invalidation. The First Amendment protects the freedom to believe in and advocate for Communist doctrine. The Fifth Amendment protects individuals from being compelled to incriminate themselves. The Fourteenth Amendment's due process clause requires notice and fair procedure before legal disabilities are imposed. These are not technicalities — they are structural features of the constitutional order that any anti-subversion legislation must navigate.</w:t>
      </w:r>
    </w:p>
    <w:p>
      <w:pPr>
        <w:spacing w:after="180" w:line="360"/>
        <w:ind w:firstLine="720"/>
        <w:jc w:val="both"/>
      </w:pPr>
      <w:r>
        <w:rPr>
          <w:rFonts w:ascii="Times New Roman" w:cs="Times New Roman" w:eastAsia="Times New Roman" w:hAnsi="Times New Roman"/>
          <w:sz w:val="24"/>
          <w:szCs w:val="24"/>
        </w:rPr>
        <w:t xml:space="preserve">The statutes that have survived — the Espionage Act, § 2383, § 2384 — succeed precisely because they are grounded in conduct. The statutes that have failed — the Sedition Act of 1918, the Smith Act's advocacy provisions, the Communist Control Act, the McCarran Act registration requirement — fail because they target belief, speech, and association rather than operational criminal conduct.</w:t>
      </w:r>
    </w:p>
    <w:p>
      <w:r>
        <w:br w:type="page"/>
      </w:r>
    </w:p>
    <w:p>
      <w:pPr>
        <w:pStyle w:val="Heading1"/>
        <w:spacing w:after="240" w:before="360"/>
        <w:rPr>
          <w:rFonts w:ascii="Times New Roman" w:cs="Times New Roman" w:eastAsia="Times New Roman" w:hAnsi="Times New Roman"/>
          <w:b/>
          <w:bCs/>
          <w:color w:val="1F3864"/>
          <w:sz w:val="32"/>
          <w:szCs w:val="32"/>
        </w:rPr>
      </w:pPr>
      <w:r>
        <w:t xml:space="preserve">Conclusion</w:t>
      </w:r>
    </w:p>
    <w:p>
      <w:pPr>
        <w:spacing w:after="180" w:line="360"/>
        <w:ind w:firstLine="720"/>
        <w:jc w:val="both"/>
      </w:pPr>
      <w:r>
        <w:rPr>
          <w:rFonts w:ascii="Times New Roman" w:cs="Times New Roman" w:eastAsia="Times New Roman" w:hAnsi="Times New Roman"/>
          <w:sz w:val="24"/>
          <w:szCs w:val="24"/>
        </w:rPr>
        <w:t xml:space="preserve">The question with which this paper began — whether the Sedition Act of 1918 is still enforceable — has a precise answer: no, because it was repealed on March 3, 1921. But the broader question the user's instinct pointed toward — whether the United States has the legal tools to respond to seditious and anti-constitutional movements — has a more nuanced answer.</w:t>
      </w:r>
    </w:p>
    <w:p>
      <w:pPr>
        <w:spacing w:after="180" w:line="360"/>
        <w:ind w:firstLine="720"/>
        <w:jc w:val="both"/>
      </w:pPr>
      <w:r>
        <w:rPr>
          <w:rFonts w:ascii="Times New Roman" w:cs="Times New Roman" w:eastAsia="Times New Roman" w:hAnsi="Times New Roman"/>
          <w:sz w:val="24"/>
          <w:szCs w:val="24"/>
        </w:rPr>
        <w:t xml:space="preserve">The answer is yes and no, depending entirely on whether the target's conduct crosses from speech to action. The United States maintains robust legal authority to prosecute conspiracies to overthrow the government by force (§ 2384), acts of rebellion and insurrection (§ 2383), and the unauthorized disclosure of national defense information (Espionage Act). All three categories produced significant convictions in the twenty-first century. These statutes are operative, enforceable, and — as the Oath Keepers and Proud Boys cases demonstrated — capable of producing sentences measured in decades.</w:t>
      </w:r>
    </w:p>
    <w:p>
      <w:pPr>
        <w:spacing w:after="180" w:line="360"/>
        <w:ind w:firstLine="720"/>
        <w:jc w:val="both"/>
      </w:pPr>
      <w:r>
        <w:rPr>
          <w:rFonts w:ascii="Times New Roman" w:cs="Times New Roman" w:eastAsia="Times New Roman" w:hAnsi="Times New Roman"/>
          <w:sz w:val="24"/>
          <w:szCs w:val="24"/>
        </w:rPr>
        <w:t xml:space="preserve">What the United States cannot do, under current constitutional doctrine, is prosecute individuals for holding Communist beliefs, teaching Marxist theory, advocating socialist policies, or joining the Communist Party. Brandenburg v. Ohio drew a bright line between protected political advocacy and unprotected incitement to imminent lawless action. That line reflects a principled constitutional judgment: a government that can punish ideas is more dangerous than the ideas it punishes.</w:t>
      </w:r>
    </w:p>
    <w:p>
      <w:pPr>
        <w:spacing w:after="180" w:line="360"/>
        <w:ind w:firstLine="720"/>
        <w:jc w:val="both"/>
      </w:pPr>
      <w:r>
        <w:rPr>
          <w:rFonts w:ascii="Times New Roman" w:cs="Times New Roman" w:eastAsia="Times New Roman" w:hAnsi="Times New Roman"/>
          <w:sz w:val="24"/>
          <w:szCs w:val="24"/>
        </w:rPr>
        <w:t xml:space="preserve">The enforcement gap that the original question identified is therefore not a failure of political will or a capitulation to the left. It is the First Amendment operating precisely as designed — protecting political speech, however offensive or even threatening to the existing order, up to but not beyond the point at which it becomes operational planning for immediate violence. The defense of the constitutional republic against Communist ideology cannot primarily be a legal defense; it must be, as Part One of this series argued, a civic and educational one.</w:t>
      </w:r>
    </w:p>
    <w:p>
      <w:pPr>
        <w:spacing w:after="180" w:line="360"/>
        <w:ind w:firstLine="720"/>
        <w:jc w:val="both"/>
      </w:pPr>
      <w:r>
        <w:rPr>
          <w:rFonts w:ascii="Times New Roman" w:cs="Times New Roman" w:eastAsia="Times New Roman" w:hAnsi="Times New Roman"/>
          <w:sz w:val="24"/>
          <w:szCs w:val="24"/>
        </w:rPr>
        <w:t xml:space="preserve">Part Three of this series will examine the Chinese Communist Party's active influence operations in the United States — a threat that, unlike domestic ideological movements, can be addressed through foreign intelligence and national security law tools that operate outside the domestic First Amendment framework.</w:t>
      </w:r>
    </w:p>
    <w:p>
      <w:r>
        <w:br w:type="page"/>
      </w:r>
    </w:p>
    <w:p>
      <w:pPr>
        <w:pStyle w:val="Heading1"/>
        <w:spacing w:after="240" w:before="360"/>
        <w:rPr>
          <w:rFonts w:ascii="Times New Roman" w:cs="Times New Roman" w:eastAsia="Times New Roman" w:hAnsi="Times New Roman"/>
          <w:b/>
          <w:bCs/>
          <w:color w:val="1F3864"/>
          <w:sz w:val="32"/>
          <w:szCs w:val="32"/>
        </w:rPr>
      </w:pPr>
      <w:r>
        <w:t xml:space="preserve">Appendix A: References</w:t>
      </w:r>
    </w:p>
    <w:p>
      <w:pPr>
        <w:spacing w:after="280"/>
      </w:pPr>
      <w:r>
        <w:rPr>
          <w:rFonts w:ascii="Times New Roman" w:cs="Times New Roman" w:eastAsia="Times New Roman" w:hAnsi="Times New Roman"/>
          <w:i/>
          <w:iCs/>
          <w:sz w:val="20"/>
          <w:szCs w:val="20"/>
        </w:rPr>
        <w:t xml:space="preserve">All references formatted in APA 7th edition. Legal citations follow APA 7th edition legal format.</w:t>
      </w:r>
    </w:p>
    <w:p>
      <w:pPr>
        <w:pStyle w:val="Heading3"/>
        <w:spacing w:after="120" w:before="200"/>
        <w:rPr>
          <w:rFonts w:ascii="Times New Roman" w:cs="Times New Roman" w:eastAsia="Times New Roman" w:hAnsi="Times New Roman"/>
          <w:b/>
          <w:bCs/>
          <w:i/>
          <w:iCs/>
          <w:color w:val="333333"/>
          <w:sz w:val="24"/>
          <w:szCs w:val="24"/>
        </w:rPr>
      </w:pPr>
      <w:r>
        <w:t xml:space="preserve">Federal Statutes</w:t>
      </w:r>
    </w:p>
    <w:p>
      <w:pPr>
        <w:spacing w:after="200" w:line="360"/>
        <w:ind w:left="720" w:hanging="720"/>
        <w:jc w:val="both"/>
      </w:pPr>
      <w:r>
        <w:rPr>
          <w:rFonts w:ascii="Times New Roman" w:cs="Times New Roman" w:eastAsia="Times New Roman" w:hAnsi="Times New Roman"/>
          <w:sz w:val="24"/>
          <w:szCs w:val="24"/>
        </w:rPr>
        <w:t xml:space="preserve">Alien Registration Act of 1940 (Smith Act), Pub. L. No. 76-670, 54 Stat. 670 (1940) (codified as amended at 18 U.S.C. § 2385).</w:t>
      </w:r>
    </w:p>
    <w:p>
      <w:pPr>
        <w:spacing w:after="200" w:line="360"/>
        <w:ind w:left="720" w:hanging="720"/>
        <w:jc w:val="both"/>
      </w:pPr>
      <w:r>
        <w:rPr>
          <w:rFonts w:ascii="Times New Roman" w:cs="Times New Roman" w:eastAsia="Times New Roman" w:hAnsi="Times New Roman"/>
          <w:sz w:val="24"/>
          <w:szCs w:val="24"/>
        </w:rPr>
        <w:t xml:space="preserve">Advocating Overthrow of Government, 18 U.S.C. § 2385 (2018).</w:t>
      </w:r>
    </w:p>
    <w:p>
      <w:pPr>
        <w:spacing w:after="200" w:line="360"/>
        <w:ind w:left="720" w:hanging="720"/>
        <w:jc w:val="both"/>
      </w:pPr>
      <w:r>
        <w:rPr>
          <w:rFonts w:ascii="Times New Roman" w:cs="Times New Roman" w:eastAsia="Times New Roman" w:hAnsi="Times New Roman"/>
          <w:sz w:val="24"/>
          <w:szCs w:val="24"/>
        </w:rPr>
        <w:t xml:space="preserve">Communist Control Act of 1954, Pub. L. No. 83-637, 68 Stat. 775 (1954) (codified at 50 U.S.C. §§ 841–844).</w:t>
      </w:r>
    </w:p>
    <w:p>
      <w:pPr>
        <w:spacing w:after="200" w:line="360"/>
        <w:ind w:left="720" w:hanging="720"/>
        <w:jc w:val="both"/>
      </w:pPr>
      <w:r>
        <w:rPr>
          <w:rFonts w:ascii="Times New Roman" w:cs="Times New Roman" w:eastAsia="Times New Roman" w:hAnsi="Times New Roman"/>
          <w:sz w:val="24"/>
          <w:szCs w:val="24"/>
        </w:rPr>
        <w:t xml:space="preserve">Espionage Act of 1917, Pub. L. No. 65-24, 40 Stat. 217 (1917) (codified as amended at 18 U.S.C. §§ 793–798).</w:t>
      </w:r>
    </w:p>
    <w:p>
      <w:pPr>
        <w:spacing w:after="200" w:line="360"/>
        <w:ind w:left="720" w:hanging="720"/>
        <w:jc w:val="both"/>
      </w:pPr>
      <w:r>
        <w:rPr>
          <w:rFonts w:ascii="Times New Roman" w:cs="Times New Roman" w:eastAsia="Times New Roman" w:hAnsi="Times New Roman"/>
          <w:sz w:val="24"/>
          <w:szCs w:val="24"/>
        </w:rPr>
        <w:t xml:space="preserve">Internal Security Act of 1950 (McCarran Act), Pub. L. No. 81-831, 64 Stat. 987 (1950).</w:t>
      </w:r>
    </w:p>
    <w:p>
      <w:pPr>
        <w:spacing w:after="200" w:line="360"/>
        <w:ind w:left="720" w:hanging="720"/>
        <w:jc w:val="both"/>
      </w:pPr>
      <w:r>
        <w:rPr>
          <w:rFonts w:ascii="Times New Roman" w:cs="Times New Roman" w:eastAsia="Times New Roman" w:hAnsi="Times New Roman"/>
          <w:sz w:val="24"/>
          <w:szCs w:val="24"/>
        </w:rPr>
        <w:t xml:space="preserve">Rebellion or Insurrection, 18 U.S.C. § 2383 (2018).</w:t>
      </w:r>
    </w:p>
    <w:p>
      <w:pPr>
        <w:spacing w:after="200" w:line="360"/>
        <w:ind w:left="720" w:hanging="720"/>
        <w:jc w:val="both"/>
      </w:pPr>
      <w:r>
        <w:rPr>
          <w:rFonts w:ascii="Times New Roman" w:cs="Times New Roman" w:eastAsia="Times New Roman" w:hAnsi="Times New Roman"/>
          <w:sz w:val="24"/>
          <w:szCs w:val="24"/>
        </w:rPr>
        <w:t xml:space="preserve">Repeal of the Sedition Act, Pub. L. No. 66-403, 41 Stat. 1359 (1921).</w:t>
      </w:r>
    </w:p>
    <w:p>
      <w:pPr>
        <w:spacing w:after="200" w:line="360"/>
        <w:ind w:left="720" w:hanging="720"/>
        <w:jc w:val="both"/>
      </w:pPr>
      <w:r>
        <w:rPr>
          <w:rFonts w:ascii="Times New Roman" w:cs="Times New Roman" w:eastAsia="Times New Roman" w:hAnsi="Times New Roman"/>
          <w:sz w:val="24"/>
          <w:szCs w:val="24"/>
        </w:rPr>
        <w:t xml:space="preserve">Sedition Act of 1918, Pub. L. No. 65-150, 40 Stat. 553 (1918) (repealed 1921).</w:t>
      </w:r>
    </w:p>
    <w:p>
      <w:pPr>
        <w:spacing w:after="200" w:line="360"/>
        <w:ind w:left="720" w:hanging="720"/>
        <w:jc w:val="both"/>
      </w:pPr>
      <w:r>
        <w:rPr>
          <w:rFonts w:ascii="Times New Roman" w:cs="Times New Roman" w:eastAsia="Times New Roman" w:hAnsi="Times New Roman"/>
          <w:sz w:val="24"/>
          <w:szCs w:val="24"/>
        </w:rPr>
        <w:t xml:space="preserve">Seditious Conspiracy, 18 U.S.C. § 2384 (2018).</w:t>
      </w:r>
    </w:p>
    <w:p>
      <w:pPr>
        <w:pStyle w:val="Heading3"/>
        <w:spacing w:after="120" w:before="200"/>
        <w:rPr>
          <w:rFonts w:ascii="Times New Roman" w:cs="Times New Roman" w:eastAsia="Times New Roman" w:hAnsi="Times New Roman"/>
          <w:b/>
          <w:bCs/>
          <w:i/>
          <w:iCs/>
          <w:color w:val="333333"/>
          <w:sz w:val="24"/>
          <w:szCs w:val="24"/>
        </w:rPr>
      </w:pPr>
      <w:r>
        <w:t xml:space="preserve">United States Supreme Court Decisions</w:t>
      </w:r>
    </w:p>
    <w:p>
      <w:pPr>
        <w:spacing w:after="200" w:line="360"/>
        <w:ind w:left="720" w:hanging="720"/>
        <w:jc w:val="both"/>
      </w:pPr>
      <w:r>
        <w:rPr>
          <w:rFonts w:ascii="Times New Roman" w:cs="Times New Roman" w:eastAsia="Times New Roman" w:hAnsi="Times New Roman"/>
          <w:sz w:val="24"/>
          <w:szCs w:val="24"/>
        </w:rPr>
        <w:t xml:space="preserve">Abrams v. United States, 250 U.S. 616 (1919).</w:t>
      </w:r>
    </w:p>
    <w:p>
      <w:pPr>
        <w:spacing w:after="200" w:line="360"/>
        <w:ind w:left="720" w:hanging="720"/>
        <w:jc w:val="both"/>
      </w:pPr>
      <w:r>
        <w:rPr>
          <w:rFonts w:ascii="Times New Roman" w:cs="Times New Roman" w:eastAsia="Times New Roman" w:hAnsi="Times New Roman"/>
          <w:sz w:val="24"/>
          <w:szCs w:val="24"/>
        </w:rPr>
        <w:t xml:space="preserve">Albertson v. Subversive Activities Control Board, 382 U.S. 70 (1965).</w:t>
      </w:r>
    </w:p>
    <w:p>
      <w:pPr>
        <w:spacing w:after="200" w:line="360"/>
        <w:ind w:left="720" w:hanging="720"/>
        <w:jc w:val="both"/>
      </w:pPr>
      <w:r>
        <w:rPr>
          <w:rFonts w:ascii="Times New Roman" w:cs="Times New Roman" w:eastAsia="Times New Roman" w:hAnsi="Times New Roman"/>
          <w:sz w:val="24"/>
          <w:szCs w:val="24"/>
        </w:rPr>
        <w:t xml:space="preserve">Berger v. United States, 255 U.S. 22 (1921).</w:t>
      </w:r>
    </w:p>
    <w:p>
      <w:pPr>
        <w:spacing w:after="200" w:line="360"/>
        <w:ind w:left="720" w:hanging="720"/>
        <w:jc w:val="both"/>
      </w:pPr>
      <w:r>
        <w:rPr>
          <w:rFonts w:ascii="Times New Roman" w:cs="Times New Roman" w:eastAsia="Times New Roman" w:hAnsi="Times New Roman"/>
          <w:sz w:val="24"/>
          <w:szCs w:val="24"/>
        </w:rPr>
        <w:t xml:space="preserve">Brandenburg v. Ohio, 395 U.S. 444 (1969).</w:t>
      </w:r>
    </w:p>
    <w:p>
      <w:pPr>
        <w:spacing w:after="200" w:line="360"/>
        <w:ind w:left="720" w:hanging="720"/>
        <w:jc w:val="both"/>
      </w:pPr>
      <w:r>
        <w:rPr>
          <w:rFonts w:ascii="Times New Roman" w:cs="Times New Roman" w:eastAsia="Times New Roman" w:hAnsi="Times New Roman"/>
          <w:sz w:val="24"/>
          <w:szCs w:val="24"/>
        </w:rPr>
        <w:t xml:space="preserve">Debs v. United States, 249 U.S. 211 (1919).</w:t>
      </w:r>
    </w:p>
    <w:p>
      <w:pPr>
        <w:spacing w:after="200" w:line="360"/>
        <w:ind w:left="720" w:hanging="720"/>
        <w:jc w:val="both"/>
      </w:pPr>
      <w:r>
        <w:rPr>
          <w:rFonts w:ascii="Times New Roman" w:cs="Times New Roman" w:eastAsia="Times New Roman" w:hAnsi="Times New Roman"/>
          <w:sz w:val="24"/>
          <w:szCs w:val="24"/>
        </w:rPr>
        <w:t xml:space="preserve">Dennis v. United States, 341 U.S. 494 (1951).</w:t>
      </w:r>
    </w:p>
    <w:p>
      <w:pPr>
        <w:spacing w:after="200" w:line="360"/>
        <w:ind w:left="720" w:hanging="720"/>
        <w:jc w:val="both"/>
      </w:pPr>
      <w:r>
        <w:rPr>
          <w:rFonts w:ascii="Times New Roman" w:cs="Times New Roman" w:eastAsia="Times New Roman" w:hAnsi="Times New Roman"/>
          <w:sz w:val="24"/>
          <w:szCs w:val="24"/>
        </w:rPr>
        <w:t xml:space="preserve">Frohwerk v. United States, 249 U.S. 204 (1919).</w:t>
      </w:r>
    </w:p>
    <w:p>
      <w:pPr>
        <w:spacing w:after="200" w:line="360"/>
        <w:ind w:left="720" w:hanging="720"/>
        <w:jc w:val="both"/>
      </w:pPr>
      <w:r>
        <w:rPr>
          <w:rFonts w:ascii="Times New Roman" w:cs="Times New Roman" w:eastAsia="Times New Roman" w:hAnsi="Times New Roman"/>
          <w:sz w:val="24"/>
          <w:szCs w:val="24"/>
        </w:rPr>
        <w:t xml:space="preserve">Noto v. United States, 367 U.S. 290 (1961).</w:t>
      </w:r>
    </w:p>
    <w:p>
      <w:pPr>
        <w:spacing w:after="200" w:line="360"/>
        <w:ind w:left="720" w:hanging="720"/>
        <w:jc w:val="both"/>
      </w:pPr>
      <w:r>
        <w:rPr>
          <w:rFonts w:ascii="Times New Roman" w:cs="Times New Roman" w:eastAsia="Times New Roman" w:hAnsi="Times New Roman"/>
          <w:sz w:val="24"/>
          <w:szCs w:val="24"/>
        </w:rPr>
        <w:t xml:space="preserve">Schenck v. United States, 249 U.S. 47 (1919).</w:t>
      </w:r>
    </w:p>
    <w:p>
      <w:pPr>
        <w:spacing w:after="200" w:line="360"/>
        <w:ind w:left="720" w:hanging="720"/>
        <w:jc w:val="both"/>
      </w:pPr>
      <w:r>
        <w:rPr>
          <w:rFonts w:ascii="Times New Roman" w:cs="Times New Roman" w:eastAsia="Times New Roman" w:hAnsi="Times New Roman"/>
          <w:sz w:val="24"/>
          <w:szCs w:val="24"/>
        </w:rPr>
        <w:t xml:space="preserve">Yates v. United States, 354 U.S. 298 (1957).</w:t>
      </w:r>
    </w:p>
    <w:p>
      <w:pPr>
        <w:pStyle w:val="Heading3"/>
        <w:spacing w:after="120" w:before="200"/>
        <w:rPr>
          <w:rFonts w:ascii="Times New Roman" w:cs="Times New Roman" w:eastAsia="Times New Roman" w:hAnsi="Times New Roman"/>
          <w:b/>
          <w:bCs/>
          <w:i/>
          <w:iCs/>
          <w:color w:val="333333"/>
          <w:sz w:val="24"/>
          <w:szCs w:val="24"/>
        </w:rPr>
      </w:pPr>
      <w:r>
        <w:t xml:space="preserve">Federal District Court Cases</w:t>
      </w:r>
    </w:p>
    <w:p>
      <w:pPr>
        <w:spacing w:after="200" w:line="360"/>
        <w:ind w:left="720" w:hanging="720"/>
        <w:jc w:val="both"/>
      </w:pPr>
      <w:r>
        <w:rPr>
          <w:rFonts w:ascii="Times New Roman" w:cs="Times New Roman" w:eastAsia="Times New Roman" w:hAnsi="Times New Roman"/>
          <w:sz w:val="24"/>
          <w:szCs w:val="24"/>
        </w:rPr>
        <w:t xml:space="preserve">United States v. Manning, CM 0891702 (U.S. Army Ct. Crim. App. 2013).</w:t>
      </w:r>
    </w:p>
    <w:p>
      <w:pPr>
        <w:spacing w:after="200" w:line="360"/>
        <w:ind w:left="720" w:hanging="720"/>
        <w:jc w:val="both"/>
      </w:pPr>
      <w:r>
        <w:rPr>
          <w:rFonts w:ascii="Times New Roman" w:cs="Times New Roman" w:eastAsia="Times New Roman" w:hAnsi="Times New Roman"/>
          <w:sz w:val="24"/>
          <w:szCs w:val="24"/>
        </w:rPr>
        <w:t xml:space="preserve">United States v. Rhodes et al., No. 1:22-cr-00015-APM (D.D.C. Nov. 29, 2022) (verdict); May 25, 2023 (sentencing).</w:t>
      </w:r>
    </w:p>
    <w:p>
      <w:pPr>
        <w:spacing w:after="200" w:line="360"/>
        <w:ind w:left="720" w:hanging="720"/>
        <w:jc w:val="both"/>
      </w:pPr>
      <w:r>
        <w:rPr>
          <w:rFonts w:ascii="Times New Roman" w:cs="Times New Roman" w:eastAsia="Times New Roman" w:hAnsi="Times New Roman"/>
          <w:sz w:val="24"/>
          <w:szCs w:val="24"/>
        </w:rPr>
        <w:t xml:space="preserve">United States v. Tarrio et al., No. 1:21-cr-00175-TJK (D.D.C. June 1, 2023) (verdict); Sept. 5, 2023 (sentencing).</w:t>
      </w:r>
    </w:p>
    <w:p>
      <w:pPr>
        <w:spacing w:after="200" w:line="360"/>
        <w:ind w:left="720" w:hanging="720"/>
        <w:jc w:val="both"/>
      </w:pPr>
      <w:r>
        <w:rPr>
          <w:rFonts w:ascii="Times New Roman" w:cs="Times New Roman" w:eastAsia="Times New Roman" w:hAnsi="Times New Roman"/>
          <w:sz w:val="24"/>
          <w:szCs w:val="24"/>
        </w:rPr>
        <w:t xml:space="preserve">United States v. Teixeira, No. 1:23-cr-10159 (D. Mass. 2023).</w:t>
      </w:r>
    </w:p>
    <w:p>
      <w:pPr>
        <w:spacing w:after="200" w:line="360"/>
        <w:ind w:left="720" w:hanging="720"/>
        <w:jc w:val="both"/>
      </w:pPr>
      <w:r>
        <w:rPr>
          <w:rFonts w:ascii="Times New Roman" w:cs="Times New Roman" w:eastAsia="Times New Roman" w:hAnsi="Times New Roman"/>
          <w:sz w:val="24"/>
          <w:szCs w:val="24"/>
        </w:rPr>
        <w:t xml:space="preserve">United States v. Winner, No. 1:17-cr-00034-JRH-BKE (S.D. Ga. Aug. 23, 2018).</w:t>
      </w:r>
    </w:p>
    <w:p>
      <w:pPr>
        <w:pStyle w:val="Heading3"/>
        <w:spacing w:after="120" w:before="200"/>
        <w:rPr>
          <w:rFonts w:ascii="Times New Roman" w:cs="Times New Roman" w:eastAsia="Times New Roman" w:hAnsi="Times New Roman"/>
          <w:b/>
          <w:bCs/>
          <w:i/>
          <w:iCs/>
          <w:color w:val="333333"/>
          <w:sz w:val="24"/>
          <w:szCs w:val="24"/>
        </w:rPr>
      </w:pPr>
      <w:r>
        <w:t xml:space="preserve">Books and Articles</w:t>
      </w:r>
    </w:p>
    <w:p>
      <w:pPr>
        <w:spacing w:after="200" w:line="360"/>
        <w:ind w:left="720" w:hanging="720"/>
        <w:jc w:val="both"/>
      </w:pPr>
      <w:r>
        <w:rPr>
          <w:rFonts w:ascii="Times New Roman" w:cs="Times New Roman" w:eastAsia="Times New Roman" w:hAnsi="Times New Roman"/>
          <w:sz w:val="24"/>
          <w:szCs w:val="24"/>
        </w:rPr>
        <w:t xml:space="preserve">Chafee, Z. (1920). Freedom of speech. Harcourt, Brace.</w:t>
      </w:r>
    </w:p>
    <w:p>
      <w:pPr>
        <w:spacing w:after="200" w:line="360"/>
        <w:ind w:left="720" w:hanging="720"/>
        <w:jc w:val="both"/>
      </w:pPr>
      <w:r>
        <w:rPr>
          <w:rFonts w:ascii="Times New Roman" w:cs="Times New Roman" w:eastAsia="Times New Roman" w:hAnsi="Times New Roman"/>
          <w:sz w:val="24"/>
          <w:szCs w:val="24"/>
        </w:rPr>
        <w:t xml:space="preserve">Chafee, Z. (1941). Free speech in the United States. Harvard University Press.</w:t>
      </w:r>
    </w:p>
    <w:p>
      <w:pPr>
        <w:spacing w:after="200" w:line="360"/>
        <w:ind w:left="720" w:hanging="720"/>
        <w:jc w:val="both"/>
      </w:pPr>
      <w:r>
        <w:rPr>
          <w:rFonts w:ascii="Times New Roman" w:cs="Times New Roman" w:eastAsia="Times New Roman" w:hAnsi="Times New Roman"/>
          <w:sz w:val="24"/>
          <w:szCs w:val="24"/>
        </w:rPr>
        <w:t xml:space="preserve">Courtois, S., Werth, N., Panné, J.-L., Paczkowski, A., Bartošek, K., &amp; Margolin, J.-L. (1999). The black book of communism: Crimes, terror, repression (J. Murphy &amp; M. Kramer, Trans.). Harvard University Press.</w:t>
      </w:r>
    </w:p>
    <w:p>
      <w:pPr>
        <w:spacing w:after="200" w:line="360"/>
        <w:ind w:left="720" w:hanging="720"/>
        <w:jc w:val="both"/>
      </w:pPr>
      <w:r>
        <w:rPr>
          <w:rFonts w:ascii="Times New Roman" w:cs="Times New Roman" w:eastAsia="Times New Roman" w:hAnsi="Times New Roman"/>
          <w:sz w:val="24"/>
          <w:szCs w:val="24"/>
        </w:rPr>
        <w:t xml:space="preserve">Healy, T. (2013). The great dissent: How Oliver Wendell Holmes changed his mind — and changed the history of free speech in America. Metropolitan Books.</w:t>
      </w:r>
    </w:p>
    <w:p>
      <w:pPr>
        <w:spacing w:after="200" w:line="360"/>
        <w:ind w:left="720" w:hanging="720"/>
        <w:jc w:val="both"/>
      </w:pPr>
      <w:r>
        <w:rPr>
          <w:rFonts w:ascii="Times New Roman" w:cs="Times New Roman" w:eastAsia="Times New Roman" w:hAnsi="Times New Roman"/>
          <w:sz w:val="24"/>
          <w:szCs w:val="24"/>
        </w:rPr>
        <w:t xml:space="preserve">Preston, W. (1963). Aliens and dissenters: Federal suppression of radicals, 1903–1933. Harvard University Press.</w:t>
      </w:r>
    </w:p>
    <w:p>
      <w:pPr>
        <w:spacing w:after="200" w:line="360"/>
        <w:ind w:left="720" w:hanging="720"/>
        <w:jc w:val="both"/>
      </w:pPr>
      <w:r>
        <w:rPr>
          <w:rFonts w:ascii="Times New Roman" w:cs="Times New Roman" w:eastAsia="Times New Roman" w:hAnsi="Times New Roman"/>
          <w:sz w:val="24"/>
          <w:szCs w:val="24"/>
        </w:rPr>
        <w:t xml:space="preserve">Stone, G. R. (2004). Perilous times: Free speech in wartime from the Sedition Act of 1798 to the War on Terrorism. W. W. Norton.</w:t>
      </w:r>
    </w:p>
    <w:p>
      <w:pPr>
        <w:spacing w:after="200" w:line="360"/>
        <w:ind w:left="720" w:hanging="720"/>
        <w:jc w:val="both"/>
      </w:pPr>
      <w:r>
        <w:rPr>
          <w:rFonts w:ascii="Times New Roman" w:cs="Times New Roman" w:eastAsia="Times New Roman" w:hAnsi="Times New Roman"/>
          <w:sz w:val="24"/>
          <w:szCs w:val="24"/>
        </w:rPr>
        <w:t xml:space="preserve">Summers, A. (1993). Official and confidential: The secret life of J. Edgar Hoover. G. P. Putnam's Sons.</w:t>
      </w:r>
    </w:p>
    <w:p>
      <w:pPr>
        <w:pStyle w:val="Heading3"/>
        <w:spacing w:after="120" w:before="200"/>
        <w:rPr>
          <w:rFonts w:ascii="Times New Roman" w:cs="Times New Roman" w:eastAsia="Times New Roman" w:hAnsi="Times New Roman"/>
          <w:b/>
          <w:bCs/>
          <w:i/>
          <w:iCs/>
          <w:color w:val="333333"/>
          <w:sz w:val="24"/>
          <w:szCs w:val="24"/>
        </w:rPr>
      </w:pPr>
      <w:r>
        <w:t xml:space="preserve">Government and Congressional Sources</w:t>
      </w:r>
    </w:p>
    <w:p>
      <w:pPr>
        <w:spacing w:after="200" w:line="360"/>
        <w:ind w:left="720" w:hanging="720"/>
        <w:jc w:val="both"/>
      </w:pPr>
      <w:r>
        <w:rPr>
          <w:rFonts w:ascii="Times New Roman" w:cs="Times New Roman" w:eastAsia="Times New Roman" w:hAnsi="Times New Roman"/>
          <w:sz w:val="24"/>
          <w:szCs w:val="24"/>
        </w:rPr>
        <w:t xml:space="preserve">Church Committee. (1976). Intelligence activities and the rights of Americans (Senate Report No. 94-755). U.S. Government Printing Office. (Report of the Select Committee to Study Governmental Operations with Respect to Intelligence Activities)</w:t>
      </w:r>
    </w:p>
    <w:p>
      <w:pPr>
        <w:spacing w:after="200" w:line="360"/>
        <w:ind w:left="720" w:hanging="720"/>
        <w:jc w:val="both"/>
      </w:pPr>
      <w:r>
        <w:rPr>
          <w:rFonts w:ascii="Times New Roman" w:cs="Times New Roman" w:eastAsia="Times New Roman" w:hAnsi="Times New Roman"/>
          <w:sz w:val="24"/>
          <w:szCs w:val="24"/>
        </w:rPr>
        <w:t xml:space="preserve">Department of Justice. (2023). Attorney general announces charges against Massachusetts Air National Guard member for alleged unauthorized retention and transmission of national defense information [Press release]. United States Department of Justice.</w:t>
      </w:r>
    </w:p>
    <w:p>
      <w:pPr>
        <w:spacing w:after="200" w:line="360"/>
        <w:ind w:left="720" w:hanging="720"/>
        <w:jc w:val="both"/>
      </w:pPr>
      <w:r>
        <w:rPr>
          <w:rFonts w:ascii="Times New Roman" w:cs="Times New Roman" w:eastAsia="Times New Roman" w:hAnsi="Times New Roman"/>
          <w:sz w:val="24"/>
          <w:szCs w:val="24"/>
        </w:rPr>
        <w:t xml:space="preserve">Federal Bureau of Investigation. (1971). Counterintelligence program: Internal security, disruption of the new left [Declassified COINTELPRO documents]. National Archives and Records Administration.</w:t>
      </w:r>
    </w:p>
    <w:sectPr>
      <w:pgSz w:w="11906" w:h="16838" w:orient="portrait"/>
      <w:pgMar w:top="1440" w:right="180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American Legal Framework Against Sedition and Subversion</dc:title>
  <dc:creator>U U Bot / PAI</dc:creator>
  <dc:description>Part Two: History, Doctrine, and Current Enforceability of Anti-Subversion Law</dc:description>
  <cp:lastModifiedBy>Un-named</cp:lastModifiedBy>
  <cp:revision>1</cp:revision>
  <dcterms:created xsi:type="dcterms:W3CDTF">2026-06-27T12:27:35.096Z</dcterms:created>
  <dcterms:modified xsi:type="dcterms:W3CDTF">2026-06-27T12:27:35.096Z</dcterms:modified>
</cp:coreProperties>
</file>

<file path=docProps/custom.xml><?xml version="1.0" encoding="utf-8"?>
<Properties xmlns="http://schemas.openxmlformats.org/officeDocument/2006/custom-properties" xmlns:vt="http://schemas.openxmlformats.org/officeDocument/2006/docPropsVTypes"/>
</file>