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8FB0F" w14:textId="77777777" w:rsidR="00305695" w:rsidRDefault="009163A3">
      <w:pPr>
        <w:spacing w:before="1200" w:after="240"/>
        <w:jc w:val="center"/>
      </w:pPr>
      <w:r>
        <w:rPr>
          <w:rFonts w:ascii="Calibri" w:eastAsia="Calibri" w:hAnsi="Calibri" w:cs="Calibri"/>
          <w:b/>
          <w:bCs/>
          <w:caps/>
          <w:color w:val="1F3864"/>
          <w:sz w:val="28"/>
          <w:szCs w:val="28"/>
        </w:rPr>
        <w:t>The Threat of Communism to the United States</w:t>
      </w:r>
    </w:p>
    <w:p w14:paraId="00F44599" w14:textId="77777777" w:rsidR="00305695" w:rsidRDefault="009163A3">
      <w:pPr>
        <w:spacing w:after="480"/>
        <w:jc w:val="center"/>
      </w:pPr>
      <w:r>
        <w:rPr>
          <w:rFonts w:ascii="Calibri" w:eastAsia="Calibri" w:hAnsi="Calibri" w:cs="Calibri"/>
          <w:color w:val="1F3864"/>
        </w:rPr>
        <w:t>—————</w:t>
      </w:r>
    </w:p>
    <w:p w14:paraId="361EA0B6" w14:textId="77777777" w:rsidR="00305695" w:rsidRDefault="009163A3">
      <w:pPr>
        <w:spacing w:after="480"/>
        <w:jc w:val="center"/>
      </w:pPr>
      <w:r>
        <w:rPr>
          <w:noProof/>
        </w:rPr>
        <w:drawing>
          <wp:inline distT="0" distB="0" distL="0" distR="0" wp14:anchorId="76AB107F" wp14:editId="1BA4DABD">
            <wp:extent cx="3810000" cy="219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3810000" cy="2190750"/>
                    </a:xfrm>
                    <a:prstGeom prst="rect">
                      <a:avLst/>
                    </a:prstGeom>
                  </pic:spPr>
                </pic:pic>
              </a:graphicData>
            </a:graphic>
          </wp:inline>
        </w:drawing>
      </w:r>
    </w:p>
    <w:p w14:paraId="5008490F" w14:textId="77777777" w:rsidR="00305695" w:rsidRDefault="009163A3">
      <w:pPr>
        <w:spacing w:after="240"/>
        <w:jc w:val="center"/>
      </w:pPr>
      <w:r>
        <w:rPr>
          <w:rFonts w:ascii="Calibri" w:eastAsia="Calibri" w:hAnsi="Calibri" w:cs="Calibri"/>
          <w:b/>
          <w:bCs/>
          <w:color w:val="1F3864"/>
          <w:sz w:val="44"/>
          <w:szCs w:val="44"/>
        </w:rPr>
        <w:t>The Economic Trap</w:t>
      </w:r>
    </w:p>
    <w:p w14:paraId="68E7B776" w14:textId="77777777" w:rsidR="00305695" w:rsidRDefault="009163A3">
      <w:pPr>
        <w:spacing w:after="360"/>
        <w:jc w:val="center"/>
      </w:pPr>
      <w:r>
        <w:rPr>
          <w:rFonts w:ascii="Calibri" w:eastAsia="Calibri" w:hAnsi="Calibri" w:cs="Calibri"/>
          <w:b/>
          <w:bCs/>
          <w:color w:val="1F3864"/>
          <w:sz w:val="30"/>
          <w:szCs w:val="30"/>
        </w:rPr>
        <w:t>An Honest Analysis of What DSA's Transformation Agenda Actually Requires</w:t>
      </w:r>
    </w:p>
    <w:p w14:paraId="1C76231B" w14:textId="77777777" w:rsidR="00305695" w:rsidRDefault="009163A3">
      <w:pPr>
        <w:spacing w:after="600"/>
        <w:jc w:val="center"/>
      </w:pPr>
      <w:r>
        <w:rPr>
          <w:i/>
          <w:iCs/>
        </w:rPr>
        <w:t>A Structural Analysis of Whether Democratic Socialism Can Achieve Its Goals Without Destroying What It Claims to Protect</w:t>
      </w:r>
    </w:p>
    <w:p w14:paraId="7B2D723C" w14:textId="77777777" w:rsidR="00305695" w:rsidRDefault="009163A3">
      <w:pPr>
        <w:spacing w:after="720"/>
        <w:jc w:val="center"/>
      </w:pPr>
      <w:r>
        <w:rPr>
          <w:rFonts w:ascii="Calibri" w:eastAsia="Calibri" w:hAnsi="Calibri" w:cs="Calibri"/>
          <w:color w:val="1F3864"/>
          <w:sz w:val="26"/>
          <w:szCs w:val="26"/>
        </w:rPr>
        <w:t>June 2026</w:t>
      </w:r>
    </w:p>
    <w:p w14:paraId="1984672D" w14:textId="77777777" w:rsidR="00305695" w:rsidRDefault="009163A3">
      <w:pPr>
        <w:spacing w:after="240"/>
        <w:jc w:val="center"/>
      </w:pPr>
      <w:r>
        <w:rPr>
          <w:i/>
          <w:iCs/>
          <w:color w:val="595959"/>
          <w:sz w:val="22"/>
          <w:szCs w:val="22"/>
        </w:rPr>
        <w:t>Companion analysis to Paper Seven — The Democratic Socialists of America</w:t>
      </w:r>
    </w:p>
    <w:p w14:paraId="0776FB19" w14:textId="77777777" w:rsidR="00305695" w:rsidRDefault="009163A3">
      <w:r>
        <w:br w:type="page"/>
      </w:r>
    </w:p>
    <w:p w14:paraId="7A8BA813" w14:textId="77777777" w:rsidR="00305695" w:rsidRDefault="009163A3">
      <w:pPr>
        <w:spacing w:before="360" w:after="200"/>
      </w:pPr>
      <w:r>
        <w:rPr>
          <w:rFonts w:ascii="Calibri" w:eastAsia="Calibri" w:hAnsi="Calibri" w:cs="Calibri"/>
          <w:b/>
          <w:bCs/>
          <w:color w:val="1F3864"/>
          <w:sz w:val="32"/>
          <w:szCs w:val="32"/>
        </w:rPr>
        <w:lastRenderedPageBreak/>
        <w:t>Section I — The Central Contradiction: You Cannot Change Ownership Without Changing Ownership</w:t>
      </w:r>
    </w:p>
    <w:p w14:paraId="5ABBD15E" w14:textId="77777777" w:rsidR="00305695" w:rsidRDefault="009163A3">
      <w:pPr>
        <w:jc w:val="both"/>
      </w:pPr>
      <w:r>
        <w:t xml:space="preserve">The DSA's stated goal is </w:t>
      </w:r>
      <w:r>
        <w:rPr>
          <w:i/>
          <w:iCs/>
        </w:rPr>
        <w:t>“the abolition of capitalism and the creation of a democratically run economy.”</w:t>
      </w:r>
      <w:r>
        <w:t xml:space="preserve"> This is not rhetorical flourish — it is the literal text of their national platform. The question this paper asks is simple: </w:t>
      </w:r>
      <w:r>
        <w:rPr>
          <w:b/>
          <w:bCs/>
        </w:rPr>
        <w:t>How, exactly, does that happen?</w:t>
      </w:r>
    </w:p>
    <w:p w14:paraId="725BF5B6" w14:textId="77777777" w:rsidR="00305695" w:rsidRDefault="009163A3">
      <w:pPr>
        <w:jc w:val="both"/>
      </w:pPr>
      <w:r>
        <w:t>Capitalism, stripped to its essence, is a system in which productive assets — factories, land, intellectual property, financial instruments — are owned by private individuals and organizations. The system's behavior flows directly from that ownership structure. Owners allocate capital toward their highest expected return. Workers sell their labor. Prices emerge from supply and demand. This is not ideology; it is mechanism.</w:t>
      </w:r>
    </w:p>
    <w:p w14:paraId="4CEE3CE7" w14:textId="77777777" w:rsidR="00305695" w:rsidRDefault="009163A3">
      <w:pPr>
        <w:jc w:val="both"/>
      </w:pPr>
      <w:r>
        <w:t xml:space="preserve">To “abolish” this system means, by definition, changing who controls those productive assets. There </w:t>
      </w:r>
      <w:proofErr w:type="gramStart"/>
      <w:r>
        <w:t>are exactly</w:t>
      </w:r>
      <w:proofErr w:type="gramEnd"/>
      <w:r>
        <w:t xml:space="preserve"> three mechanisms by which ownership transfers in any legal system:</w:t>
      </w:r>
    </w:p>
    <w:p w14:paraId="6AA3586F" w14:textId="170DF994" w:rsidR="00305695" w:rsidRDefault="009163A3" w:rsidP="00197E7B">
      <w:pPr>
        <w:pStyle w:val="ListParagraph"/>
        <w:numPr>
          <w:ilvl w:val="0"/>
          <w:numId w:val="1"/>
        </w:numPr>
        <w:spacing w:after="100" w:line="280" w:lineRule="auto"/>
      </w:pPr>
      <w:r w:rsidRPr="00197E7B">
        <w:rPr>
          <w:b/>
          <w:bCs/>
        </w:rPr>
        <w:t>Purchase</w:t>
      </w:r>
      <w:r>
        <w:t xml:space="preserve"> — the new owner buys the asset at market value. Requires vast capital.</w:t>
      </w:r>
    </w:p>
    <w:p w14:paraId="17849775" w14:textId="77777777" w:rsidR="00305695" w:rsidRDefault="009163A3">
      <w:pPr>
        <w:pStyle w:val="ListParagraph"/>
        <w:numPr>
          <w:ilvl w:val="0"/>
          <w:numId w:val="1"/>
        </w:numPr>
        <w:spacing w:after="100" w:line="280" w:lineRule="auto"/>
      </w:pPr>
      <w:r>
        <w:rPr>
          <w:b/>
          <w:bCs/>
        </w:rPr>
        <w:t>T</w:t>
      </w:r>
      <w:r>
        <w:rPr>
          <w:b/>
          <w:bCs/>
        </w:rPr>
        <w:t>axation to extinction</w:t>
      </w:r>
      <w:r>
        <w:t xml:space="preserve"> — tax the asset's returns until ownership becomes worthless. Destroys the asset's productive value in the process.</w:t>
      </w:r>
    </w:p>
    <w:p w14:paraId="54B32404" w14:textId="77777777" w:rsidR="00305695" w:rsidRDefault="009163A3">
      <w:pPr>
        <w:pStyle w:val="ListParagraph"/>
        <w:numPr>
          <w:ilvl w:val="0"/>
          <w:numId w:val="1"/>
        </w:numPr>
        <w:spacing w:after="100" w:line="280" w:lineRule="auto"/>
      </w:pPr>
      <w:r>
        <w:rPr>
          <w:b/>
          <w:bCs/>
        </w:rPr>
        <w:t>Expropriation</w:t>
      </w:r>
      <w:r>
        <w:t xml:space="preserve"> — the state seizes the asset, with or without compensation. Requires coercive state power.</w:t>
      </w:r>
    </w:p>
    <w:p w14:paraId="7779965A" w14:textId="77777777" w:rsidR="00305695" w:rsidRDefault="009163A3">
      <w:pPr>
        <w:jc w:val="both"/>
      </w:pPr>
      <w:r>
        <w:t xml:space="preserve">DSA's platform lists option 3 explicitly. The housing commission documents use the word </w:t>
      </w:r>
      <w:r>
        <w:rPr>
          <w:i/>
          <w:iCs/>
        </w:rPr>
        <w:t>“expropriate.”</w:t>
      </w:r>
      <w:r>
        <w:t xml:space="preserve"> The platform calls for corporations to be </w:t>
      </w:r>
      <w:r>
        <w:rPr>
          <w:i/>
          <w:iCs/>
        </w:rPr>
        <w:t>“put under public ownership.”</w:t>
      </w:r>
      <w:r>
        <w:t xml:space="preserve"> These are not ambiguous words.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91"/>
      </w:tblGrid>
      <w:tr w:rsidR="00305695" w14:paraId="3AFE50B1" w14:textId="77777777">
        <w:tblPrEx>
          <w:tblCellMar>
            <w:top w:w="0" w:type="dxa"/>
            <w:bottom w:w="0" w:type="dxa"/>
          </w:tblCellMar>
        </w:tblPrEx>
        <w:tc>
          <w:tcPr>
            <w:tcW w:w="5000" w:type="pct"/>
            <w:tcBorders>
              <w:top w:val="single" w:sz="4" w:space="0" w:color="1F3864"/>
              <w:left w:val="single" w:sz="24" w:space="0" w:color="1F3864"/>
              <w:bottom w:val="single" w:sz="4" w:space="0" w:color="1F3864"/>
              <w:right w:val="single" w:sz="4" w:space="0" w:color="1F3864"/>
            </w:tcBorders>
            <w:shd w:val="clear" w:color="auto" w:fill="F0F0F0"/>
            <w:tcMar>
              <w:top w:w="200" w:type="dxa"/>
              <w:left w:w="240" w:type="dxa"/>
              <w:bottom w:w="200" w:type="dxa"/>
              <w:right w:w="240" w:type="dxa"/>
            </w:tcMar>
          </w:tcPr>
          <w:p w14:paraId="0E89DFED" w14:textId="77777777" w:rsidR="00305695" w:rsidRDefault="009163A3">
            <w:pPr>
              <w:spacing w:after="100"/>
            </w:pPr>
            <w:r>
              <w:rPr>
                <w:rFonts w:ascii="Calibri" w:eastAsia="Calibri" w:hAnsi="Calibri" w:cs="Calibri"/>
                <w:b/>
                <w:bCs/>
                <w:color w:val="1F3864"/>
              </w:rPr>
              <w:t>The Ownership Equation</w:t>
            </w:r>
          </w:p>
          <w:p w14:paraId="5A6049DC" w14:textId="77777777" w:rsidR="00305695" w:rsidRDefault="009163A3">
            <w:pPr>
              <w:spacing w:after="60" w:line="280" w:lineRule="auto"/>
              <w:jc w:val="both"/>
            </w:pPr>
            <w:r>
              <w:rPr>
                <w:i/>
                <w:iCs/>
                <w:sz w:val="22"/>
                <w:szCs w:val="22"/>
              </w:rPr>
              <w:t xml:space="preserve">There is no fourth mechanism. You cannot tax your way to socialism — taxation redistributes income from </w:t>
            </w:r>
            <w:proofErr w:type="gramStart"/>
            <w:r>
              <w:rPr>
                <w:i/>
                <w:iCs/>
                <w:sz w:val="22"/>
                <w:szCs w:val="22"/>
              </w:rPr>
              <w:t>ownership,</w:t>
            </w:r>
            <w:proofErr w:type="gramEnd"/>
            <w:r>
              <w:rPr>
                <w:i/>
                <w:iCs/>
                <w:sz w:val="22"/>
                <w:szCs w:val="22"/>
              </w:rPr>
              <w:t xml:space="preserve"> it does not transfer ownership itself. A corporation paying 90% of its profits in taxes still has a board of directors making capital allocation decisions. The shareholders still own the enterprise. The government has become a very expensive creditor, not an owner.</w:t>
            </w:r>
          </w:p>
        </w:tc>
      </w:tr>
    </w:tbl>
    <w:p w14:paraId="496A72FD" w14:textId="77777777" w:rsidR="00305695" w:rsidRDefault="00305695">
      <w:pPr>
        <w:spacing w:after="200"/>
      </w:pPr>
    </w:p>
    <w:p w14:paraId="13CA21D7" w14:textId="77777777" w:rsidR="00305695" w:rsidRDefault="009163A3">
      <w:pPr>
        <w:spacing w:before="360" w:after="200"/>
      </w:pPr>
      <w:r>
        <w:rPr>
          <w:rFonts w:ascii="Calibri" w:eastAsia="Calibri" w:hAnsi="Calibri" w:cs="Calibri"/>
          <w:b/>
          <w:bCs/>
          <w:color w:val="1F3864"/>
          <w:sz w:val="32"/>
          <w:szCs w:val="32"/>
        </w:rPr>
        <w:t>Section II — The Taxation Fallacy: Why Shaggy's Intuition Is Exactly Right</w:t>
      </w:r>
    </w:p>
    <w:p w14:paraId="4C80E4FC" w14:textId="77777777" w:rsidR="00305695" w:rsidRDefault="009163A3">
      <w:pPr>
        <w:jc w:val="both"/>
      </w:pPr>
      <w:r>
        <w:t xml:space="preserve">When DSA advocates for wealth taxes, corporate taxes, and financial transaction taxes, the implicit theory </w:t>
      </w:r>
      <w:proofErr w:type="gramStart"/>
      <w:r>
        <w:t>is:</w:t>
      </w:r>
      <w:proofErr w:type="gramEnd"/>
      <w:r>
        <w:t xml:space="preserve"> extract enough surplus from the capitalist class to fund public services, until the private sector is gradually crowded out by a superior public alternative.</w:t>
      </w:r>
    </w:p>
    <w:p w14:paraId="07DD7403" w14:textId="77777777" w:rsidR="00305695" w:rsidRDefault="009163A3">
      <w:pPr>
        <w:jc w:val="both"/>
      </w:pPr>
      <w:r>
        <w:lastRenderedPageBreak/>
        <w:t>This theory fails at three points:</w:t>
      </w:r>
    </w:p>
    <w:p w14:paraId="55B8501C" w14:textId="77777777" w:rsidR="00305695" w:rsidRDefault="009163A3">
      <w:pPr>
        <w:spacing w:before="240" w:after="120"/>
      </w:pPr>
      <w:r>
        <w:rPr>
          <w:rFonts w:ascii="Calibri" w:eastAsia="Calibri" w:hAnsi="Calibri" w:cs="Calibri"/>
          <w:b/>
          <w:bCs/>
          <w:color w:val="1F3864"/>
          <w:sz w:val="26"/>
          <w:szCs w:val="26"/>
        </w:rPr>
        <w:t>Failure Point 1 — Capital Mobility</w:t>
      </w:r>
    </w:p>
    <w:p w14:paraId="1AE624C8" w14:textId="77777777" w:rsidR="00305695" w:rsidRDefault="009163A3">
      <w:pPr>
        <w:jc w:val="both"/>
      </w:pPr>
      <w:r>
        <w:t xml:space="preserve">Capital is uniquely mobile among factors of production. Labor is tied to geography; capital is not. When taxation reaches the threshold where the after-tax return on U.S. investment is lower than comparable returns elsewhere, capital moves. This is not speculation — it is observed behavior. The 1970s British “brain drain” following </w:t>
      </w:r>
      <w:proofErr w:type="spellStart"/>
      <w:r>
        <w:t>Labour's</w:t>
      </w:r>
      <w:proofErr w:type="spellEnd"/>
      <w:r>
        <w:t xml:space="preserve"> 98% top marginal rate; France's 2012 75% supertax reversed within two years after capital flight; Argentina's repeated cycles of confiscatory taxation followed by capital exodus. The empirical record is consistent.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91"/>
      </w:tblGrid>
      <w:tr w:rsidR="00305695" w14:paraId="5EE7C761" w14:textId="77777777">
        <w:tblPrEx>
          <w:tblCellMar>
            <w:top w:w="0" w:type="dxa"/>
            <w:bottom w:w="0" w:type="dxa"/>
          </w:tblCellMar>
        </w:tblPrEx>
        <w:tc>
          <w:tcPr>
            <w:tcW w:w="5000" w:type="pct"/>
            <w:tcBorders>
              <w:top w:val="single" w:sz="4" w:space="0" w:color="1F3864"/>
              <w:left w:val="single" w:sz="24" w:space="0" w:color="1F3864"/>
              <w:bottom w:val="single" w:sz="4" w:space="0" w:color="1F3864"/>
              <w:right w:val="single" w:sz="4" w:space="0" w:color="1F3864"/>
            </w:tcBorders>
            <w:shd w:val="clear" w:color="auto" w:fill="F0F0F0"/>
            <w:tcMar>
              <w:top w:w="200" w:type="dxa"/>
              <w:left w:w="240" w:type="dxa"/>
              <w:bottom w:w="200" w:type="dxa"/>
              <w:right w:w="240" w:type="dxa"/>
            </w:tcMar>
          </w:tcPr>
          <w:p w14:paraId="0A1DC1A2" w14:textId="77777777" w:rsidR="00305695" w:rsidRDefault="009163A3">
            <w:pPr>
              <w:spacing w:after="100"/>
            </w:pPr>
            <w:r>
              <w:rPr>
                <w:rFonts w:ascii="Calibri" w:eastAsia="Calibri" w:hAnsi="Calibri" w:cs="Calibri"/>
                <w:b/>
                <w:bCs/>
                <w:color w:val="1F3864"/>
              </w:rPr>
              <w:t>Data: The French Supertax</w:t>
            </w:r>
          </w:p>
          <w:p w14:paraId="329A2770" w14:textId="77777777" w:rsidR="00305695" w:rsidRDefault="009163A3">
            <w:pPr>
              <w:spacing w:after="60" w:line="280" w:lineRule="auto"/>
              <w:jc w:val="both"/>
            </w:pPr>
            <w:r>
              <w:rPr>
                <w:i/>
                <w:iCs/>
                <w:sz w:val="22"/>
                <w:szCs w:val="22"/>
              </w:rPr>
              <w:t>France's 75% supertax on incomes over €1 million, introduced by François Hollande in 2012, was abandoned by 2014 after generating less than half the projected revenue and accelerating the departure of high-income earners including Gerard Depardieu and numerous financial executives. (The Economist, 2014; Reuters, 2014)</w:t>
            </w:r>
          </w:p>
        </w:tc>
      </w:tr>
    </w:tbl>
    <w:p w14:paraId="7CD8D051" w14:textId="77777777" w:rsidR="00305695" w:rsidRDefault="00305695">
      <w:pPr>
        <w:spacing w:after="200"/>
      </w:pPr>
    </w:p>
    <w:p w14:paraId="24BCABD6" w14:textId="77777777" w:rsidR="00305695" w:rsidRDefault="009163A3">
      <w:pPr>
        <w:spacing w:before="240" w:after="120"/>
      </w:pPr>
      <w:r>
        <w:rPr>
          <w:rFonts w:ascii="Calibri" w:eastAsia="Calibri" w:hAnsi="Calibri" w:cs="Calibri"/>
          <w:b/>
          <w:bCs/>
          <w:color w:val="1F3864"/>
          <w:sz w:val="26"/>
          <w:szCs w:val="26"/>
        </w:rPr>
        <w:t>Failure Point 2 — Investment Retreat</w:t>
      </w:r>
    </w:p>
    <w:p w14:paraId="751906AF" w14:textId="77777777" w:rsidR="00305695" w:rsidRDefault="009163A3">
      <w:pPr>
        <w:jc w:val="both"/>
      </w:pPr>
      <w:r>
        <w:t>Even capital that remains in-country responds to high taxation by shifting away from productive investment toward tax-optimized activities. At 90% marginal rates, rational actors stop building factories and start buying municipal bonds, establishing foundations, and structuring compensation as untaxed benefits. The tax base narrows as behavior changes; the projected revenue never materializes.</w:t>
      </w:r>
    </w:p>
    <w:p w14:paraId="5C224E86" w14:textId="77777777" w:rsidR="00305695" w:rsidRDefault="009163A3">
      <w:pPr>
        <w:spacing w:before="240" w:after="120"/>
      </w:pPr>
      <w:r>
        <w:rPr>
          <w:rFonts w:ascii="Calibri" w:eastAsia="Calibri" w:hAnsi="Calibri" w:cs="Calibri"/>
          <w:b/>
          <w:bCs/>
          <w:color w:val="1F3864"/>
          <w:sz w:val="26"/>
          <w:szCs w:val="26"/>
        </w:rPr>
        <w:t>Failure Point 3 — Ownership Is Unchanged</w:t>
      </w:r>
    </w:p>
    <w:p w14:paraId="2B2B5AB3" w14:textId="77777777" w:rsidR="00305695" w:rsidRDefault="009163A3">
      <w:pPr>
        <w:jc w:val="both"/>
      </w:pPr>
      <w:r>
        <w:t xml:space="preserve">This is the decisive point. A corporation paying 70% of profits in taxes still has shareholders who own the enterprise. They still decide what to produce, where to produce it, how many workers to hire, and what to </w:t>
      </w:r>
      <w:proofErr w:type="gramStart"/>
      <w:r>
        <w:t>pay</w:t>
      </w:r>
      <w:proofErr w:type="gramEnd"/>
      <w:r>
        <w:t xml:space="preserve"> them. The tax has redistributed some income. It has not changed the </w:t>
      </w:r>
      <w:proofErr w:type="gramStart"/>
      <w:r>
        <w:t>fundamental power</w:t>
      </w:r>
      <w:proofErr w:type="gramEnd"/>
      <w:r>
        <w:t xml:space="preserve"> relationship between capital and labor. DSA's platform explicitly acknowledges this — which is why it calls for “public ownership,” not just “taxation.” The taxation agenda is a supplement to the ownership agenda, not a substitute for 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91"/>
      </w:tblGrid>
      <w:tr w:rsidR="00305695" w14:paraId="01693639" w14:textId="77777777">
        <w:tblPrEx>
          <w:tblCellMar>
            <w:top w:w="0" w:type="dxa"/>
            <w:bottom w:w="0" w:type="dxa"/>
          </w:tblCellMar>
        </w:tblPrEx>
        <w:tc>
          <w:tcPr>
            <w:tcW w:w="5000" w:type="pct"/>
            <w:tcBorders>
              <w:top w:val="single" w:sz="4" w:space="0" w:color="1F3864"/>
              <w:left w:val="single" w:sz="24" w:space="0" w:color="1F3864"/>
              <w:bottom w:val="single" w:sz="4" w:space="0" w:color="1F3864"/>
              <w:right w:val="single" w:sz="4" w:space="0" w:color="1F3864"/>
            </w:tcBorders>
            <w:shd w:val="clear" w:color="auto" w:fill="F0F0F0"/>
            <w:tcMar>
              <w:top w:w="200" w:type="dxa"/>
              <w:left w:w="240" w:type="dxa"/>
              <w:bottom w:w="200" w:type="dxa"/>
              <w:right w:w="240" w:type="dxa"/>
            </w:tcMar>
          </w:tcPr>
          <w:p w14:paraId="39434DB5" w14:textId="77777777" w:rsidR="00305695" w:rsidRDefault="009163A3">
            <w:pPr>
              <w:spacing w:after="100"/>
            </w:pPr>
            <w:r>
              <w:rPr>
                <w:rFonts w:ascii="Calibri" w:eastAsia="Calibri" w:hAnsi="Calibri" w:cs="Calibri"/>
                <w:b/>
                <w:bCs/>
                <w:color w:val="1F3864"/>
              </w:rPr>
              <w:t>What Taxation Actually Does</w:t>
            </w:r>
          </w:p>
          <w:p w14:paraId="6608F9EF" w14:textId="77777777" w:rsidR="00305695" w:rsidRDefault="009163A3">
            <w:pPr>
              <w:spacing w:after="60" w:line="280" w:lineRule="auto"/>
              <w:jc w:val="both"/>
            </w:pPr>
            <w:r>
              <w:rPr>
                <w:i/>
                <w:iCs/>
                <w:sz w:val="22"/>
                <w:szCs w:val="22"/>
              </w:rPr>
              <w:t xml:space="preserve">Taxation is a claim on income. Ownership is a claim on assets. They are not the same thing. You can tax the fruit from a tree indefinitely without ever owning the tree. The owner still decides whether to water it, prune it, cut it down, or move it to another jurisdiction. DSA's platform knows </w:t>
            </w:r>
            <w:r>
              <w:rPr>
                <w:i/>
                <w:iCs/>
                <w:sz w:val="22"/>
                <w:szCs w:val="22"/>
              </w:rPr>
              <w:lastRenderedPageBreak/>
              <w:t>this. The taxation proposals are not the mechanism of transformation — they are the revenue stream to fund alternatives while the ownership transformation is separately pursued.</w:t>
            </w:r>
          </w:p>
        </w:tc>
      </w:tr>
    </w:tbl>
    <w:p w14:paraId="3C51C781" w14:textId="77777777" w:rsidR="00305695" w:rsidRDefault="00305695">
      <w:pPr>
        <w:spacing w:after="200"/>
      </w:pPr>
    </w:p>
    <w:p w14:paraId="285F6C71" w14:textId="77777777" w:rsidR="00305695" w:rsidRDefault="009163A3">
      <w:pPr>
        <w:spacing w:before="360" w:after="200"/>
      </w:pPr>
      <w:r>
        <w:rPr>
          <w:rFonts w:ascii="Calibri" w:eastAsia="Calibri" w:hAnsi="Calibri" w:cs="Calibri"/>
          <w:b/>
          <w:bCs/>
          <w:color w:val="1F3864"/>
          <w:sz w:val="32"/>
          <w:szCs w:val="32"/>
        </w:rPr>
        <w:t>Section III — The One-Way Door: How Reform Becomes Dependency</w:t>
      </w:r>
    </w:p>
    <w:p w14:paraId="6FD0026A" w14:textId="77777777" w:rsidR="00305695" w:rsidRDefault="009163A3">
      <w:pPr>
        <w:jc w:val="both"/>
      </w:pPr>
      <w:r>
        <w:t>DSA's program, if implemented incrementally, creates structural dependencies that are irreversible. This is not a secret plan — it is a predictable consequence of how markets respond to government intervention.</w:t>
      </w:r>
    </w:p>
    <w:p w14:paraId="19F994C5" w14:textId="77777777" w:rsidR="00305695" w:rsidRDefault="009163A3">
      <w:pPr>
        <w:spacing w:before="240" w:after="120"/>
      </w:pPr>
      <w:r>
        <w:rPr>
          <w:rFonts w:ascii="Calibri" w:eastAsia="Calibri" w:hAnsi="Calibri" w:cs="Calibri"/>
          <w:b/>
          <w:bCs/>
          <w:color w:val="1F3864"/>
          <w:sz w:val="26"/>
          <w:szCs w:val="26"/>
        </w:rPr>
        <w:t>The Housing One-Way Door</w:t>
      </w:r>
    </w:p>
    <w:p w14:paraId="16CD1193" w14:textId="68E55C2C" w:rsidR="00305695" w:rsidRDefault="009163A3" w:rsidP="00197E7B">
      <w:pPr>
        <w:pStyle w:val="ListParagraph"/>
        <w:numPr>
          <w:ilvl w:val="0"/>
          <w:numId w:val="2"/>
        </w:numPr>
        <w:spacing w:after="100" w:line="280" w:lineRule="auto"/>
      </w:pPr>
      <w:r>
        <w:t>DSA calls for universal rent control, community land trusts, and “decommodification” of housing — removing housing from market pricing mechanisms.</w:t>
      </w:r>
    </w:p>
    <w:p w14:paraId="5427FD3B" w14:textId="77777777" w:rsidR="00305695" w:rsidRDefault="009163A3" w:rsidP="00197E7B">
      <w:pPr>
        <w:pStyle w:val="ListParagraph"/>
        <w:numPr>
          <w:ilvl w:val="0"/>
          <w:numId w:val="2"/>
        </w:numPr>
        <w:spacing w:after="100" w:line="280" w:lineRule="auto"/>
      </w:pPr>
      <w:r>
        <w:t>W</w:t>
      </w:r>
      <w:r>
        <w:t>hat happens: Private developers stop building in rent-controlled markets (documented in every city with strict rent control — San Francisco, New York, Stockholm before its 2006 reform). The housing stock stagnates. The shortage deepens.</w:t>
      </w:r>
    </w:p>
    <w:p w14:paraId="1D2AAF8E" w14:textId="77777777" w:rsidR="00305695" w:rsidRDefault="009163A3" w:rsidP="00197E7B">
      <w:pPr>
        <w:pStyle w:val="ListParagraph"/>
        <w:numPr>
          <w:ilvl w:val="0"/>
          <w:numId w:val="2"/>
        </w:numPr>
        <w:spacing w:after="100" w:line="280" w:lineRule="auto"/>
      </w:pPr>
      <w:r>
        <w:t>Government must then build public housing to fill the vacuum — or the crisis worsens.</w:t>
      </w:r>
    </w:p>
    <w:p w14:paraId="099D9C60" w14:textId="77777777" w:rsidR="00305695" w:rsidRDefault="009163A3" w:rsidP="00197E7B">
      <w:pPr>
        <w:pStyle w:val="ListParagraph"/>
        <w:numPr>
          <w:ilvl w:val="0"/>
          <w:numId w:val="2"/>
        </w:numPr>
        <w:spacing w:after="100" w:line="280" w:lineRule="auto"/>
      </w:pPr>
      <w:r>
        <w:t xml:space="preserve">Once public housing is the dominant form of supply, the private market cannot </w:t>
      </w:r>
      <w:proofErr w:type="gramStart"/>
      <w:r>
        <w:t>recover:</w:t>
      </w:r>
      <w:proofErr w:type="gramEnd"/>
      <w:r>
        <w:t xml:space="preserve"> land has been locked in community trusts, rents are controlled, the investment case doesn't exist.</w:t>
      </w:r>
    </w:p>
    <w:p w14:paraId="7E84D4C8" w14:textId="77777777" w:rsidR="00305695" w:rsidRDefault="009163A3" w:rsidP="00197E7B">
      <w:pPr>
        <w:pStyle w:val="ListParagraph"/>
        <w:numPr>
          <w:ilvl w:val="0"/>
          <w:numId w:val="2"/>
        </w:numPr>
        <w:spacing w:after="100" w:line="280" w:lineRule="auto"/>
      </w:pPr>
      <w:r>
        <w:t>The door closes. From that point forward, only the government can house people.</w:t>
      </w:r>
    </w:p>
    <w:p w14:paraId="48E3E88E" w14:textId="77777777" w:rsidR="00305695" w:rsidRDefault="009163A3">
      <w:pPr>
        <w:spacing w:before="240" w:after="120"/>
      </w:pPr>
      <w:proofErr w:type="gramStart"/>
      <w:r>
        <w:rPr>
          <w:rFonts w:ascii="Calibri" w:eastAsia="Calibri" w:hAnsi="Calibri" w:cs="Calibri"/>
          <w:b/>
          <w:bCs/>
          <w:color w:val="1F3864"/>
          <w:sz w:val="26"/>
          <w:szCs w:val="26"/>
        </w:rPr>
        <w:t>The Healthcare</w:t>
      </w:r>
      <w:proofErr w:type="gramEnd"/>
      <w:r>
        <w:rPr>
          <w:rFonts w:ascii="Calibri" w:eastAsia="Calibri" w:hAnsi="Calibri" w:cs="Calibri"/>
          <w:b/>
          <w:bCs/>
          <w:color w:val="1F3864"/>
          <w:sz w:val="26"/>
          <w:szCs w:val="26"/>
        </w:rPr>
        <w:t xml:space="preserve"> One-Way Door</w:t>
      </w:r>
    </w:p>
    <w:p w14:paraId="6A5D58A4" w14:textId="27C2DED6" w:rsidR="00305695" w:rsidRDefault="009163A3" w:rsidP="00197E7B">
      <w:pPr>
        <w:pStyle w:val="ListParagraph"/>
        <w:numPr>
          <w:ilvl w:val="0"/>
          <w:numId w:val="3"/>
        </w:numPr>
        <w:spacing w:after="100" w:line="280" w:lineRule="auto"/>
      </w:pPr>
      <w:r>
        <w:t>Medicare for All eliminates private health insurance. This is explicit in DSA's platform — not a government option alongside private insurance, but replacement.</w:t>
      </w:r>
    </w:p>
    <w:p w14:paraId="1A1E693E" w14:textId="77777777" w:rsidR="00305695" w:rsidRDefault="009163A3" w:rsidP="00197E7B">
      <w:pPr>
        <w:pStyle w:val="ListParagraph"/>
        <w:numPr>
          <w:ilvl w:val="0"/>
          <w:numId w:val="3"/>
        </w:numPr>
        <w:spacing w:after="100" w:line="280" w:lineRule="auto"/>
      </w:pPr>
      <w:r>
        <w:t>P</w:t>
      </w:r>
      <w:r>
        <w:t>rivate insurers exit. The administrative infrastructure (claims processing, provider networks, actuarial modeling) built over decades is dismantled.</w:t>
      </w:r>
    </w:p>
    <w:p w14:paraId="1BB824F3" w14:textId="77777777" w:rsidR="00305695" w:rsidRDefault="009163A3" w:rsidP="00197E7B">
      <w:pPr>
        <w:pStyle w:val="ListParagraph"/>
        <w:numPr>
          <w:ilvl w:val="0"/>
          <w:numId w:val="3"/>
        </w:numPr>
        <w:spacing w:after="100" w:line="280" w:lineRule="auto"/>
      </w:pPr>
      <w:r>
        <w:t>If the government program underperforms — as every single-payer system has in some dimension — there is no private fallback. The market has been legislated out of existence.</w:t>
      </w:r>
    </w:p>
    <w:p w14:paraId="026E4550" w14:textId="77777777" w:rsidR="00305695" w:rsidRDefault="009163A3" w:rsidP="00197E7B">
      <w:pPr>
        <w:pStyle w:val="ListParagraph"/>
        <w:numPr>
          <w:ilvl w:val="0"/>
          <w:numId w:val="3"/>
        </w:numPr>
        <w:spacing w:after="100" w:line="280" w:lineRule="auto"/>
      </w:pPr>
      <w:r>
        <w:t>The door closes. Reversal requires rebuilding an entire industry from scratch.</w:t>
      </w:r>
    </w:p>
    <w:p w14:paraId="5B65C908" w14:textId="77777777" w:rsidR="00305695" w:rsidRDefault="009163A3">
      <w:pPr>
        <w:spacing w:before="240" w:after="120"/>
      </w:pPr>
      <w:r>
        <w:rPr>
          <w:rFonts w:ascii="Calibri" w:eastAsia="Calibri" w:hAnsi="Calibri" w:cs="Calibri"/>
          <w:b/>
          <w:bCs/>
          <w:color w:val="1F3864"/>
          <w:sz w:val="26"/>
          <w:szCs w:val="26"/>
        </w:rPr>
        <w:t>The Energy One-Way Door</w:t>
      </w:r>
    </w:p>
    <w:p w14:paraId="6ADE0FDF" w14:textId="3E72E749" w:rsidR="00305695" w:rsidRDefault="009163A3" w:rsidP="00197E7B">
      <w:pPr>
        <w:pStyle w:val="ListParagraph"/>
        <w:numPr>
          <w:ilvl w:val="0"/>
          <w:numId w:val="4"/>
        </w:numPr>
        <w:spacing w:after="100" w:line="280" w:lineRule="auto"/>
      </w:pPr>
      <w:r>
        <w:t>DSA calls for “social ownership and democratic control” of energy utilities.</w:t>
      </w:r>
    </w:p>
    <w:p w14:paraId="6413D84B" w14:textId="77777777" w:rsidR="00305695" w:rsidRDefault="009163A3" w:rsidP="00197E7B">
      <w:pPr>
        <w:pStyle w:val="ListParagraph"/>
        <w:numPr>
          <w:ilvl w:val="0"/>
          <w:numId w:val="4"/>
        </w:numPr>
        <w:spacing w:after="100" w:line="280" w:lineRule="auto"/>
      </w:pPr>
      <w:r>
        <w:lastRenderedPageBreak/>
        <w:t>P</w:t>
      </w:r>
      <w:r>
        <w:t>rivate energy investors, facing nationalization risk, stop investing in new infrastructure. Why would you build a $3 billion power plant if the government can seize it for “public ownership”?</w:t>
      </w:r>
    </w:p>
    <w:p w14:paraId="685D9FDE" w14:textId="77777777" w:rsidR="00305695" w:rsidRDefault="009163A3" w:rsidP="00197E7B">
      <w:pPr>
        <w:pStyle w:val="ListParagraph"/>
        <w:numPr>
          <w:ilvl w:val="0"/>
          <w:numId w:val="4"/>
        </w:numPr>
        <w:spacing w:after="100" w:line="280" w:lineRule="auto"/>
      </w:pPr>
      <w:r>
        <w:t>The infrastructure deteriorates. Blackouts occur. The public demands government action.</w:t>
      </w:r>
    </w:p>
    <w:p w14:paraId="6ACAF3B1" w14:textId="77777777" w:rsidR="00305695" w:rsidRDefault="009163A3" w:rsidP="00197E7B">
      <w:pPr>
        <w:pStyle w:val="ListParagraph"/>
        <w:numPr>
          <w:ilvl w:val="0"/>
          <w:numId w:val="4"/>
        </w:numPr>
        <w:spacing w:after="100" w:line="280" w:lineRule="auto"/>
      </w:pPr>
      <w:r>
        <w:t xml:space="preserve">Government action means nationalization — which is what DSA wanted to begin </w:t>
      </w:r>
      <w:proofErr w:type="gramStart"/>
      <w:r>
        <w:t>with, but</w:t>
      </w:r>
      <w:proofErr w:type="gramEnd"/>
      <w:r>
        <w:t xml:space="preserve"> now arrives as an “emergency” response to a crisis that the policy itself precipitated.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91"/>
      </w:tblGrid>
      <w:tr w:rsidR="00305695" w14:paraId="43C74C2F" w14:textId="77777777">
        <w:tblPrEx>
          <w:tblCellMar>
            <w:top w:w="0" w:type="dxa"/>
            <w:bottom w:w="0" w:type="dxa"/>
          </w:tblCellMar>
        </w:tblPrEx>
        <w:tc>
          <w:tcPr>
            <w:tcW w:w="5000" w:type="pct"/>
            <w:tcBorders>
              <w:top w:val="single" w:sz="4" w:space="0" w:color="C00000"/>
              <w:left w:val="single" w:sz="24" w:space="0" w:color="C00000"/>
              <w:bottom w:val="single" w:sz="4" w:space="0" w:color="C00000"/>
              <w:right w:val="single" w:sz="4" w:space="0" w:color="C00000"/>
            </w:tcBorders>
            <w:shd w:val="clear" w:color="auto" w:fill="FCE4D6"/>
            <w:tcMar>
              <w:top w:w="200" w:type="dxa"/>
              <w:left w:w="240" w:type="dxa"/>
              <w:bottom w:w="200" w:type="dxa"/>
              <w:right w:w="240" w:type="dxa"/>
            </w:tcMar>
          </w:tcPr>
          <w:p w14:paraId="06F3CAA9" w14:textId="77777777" w:rsidR="00305695" w:rsidRDefault="009163A3">
            <w:pPr>
              <w:spacing w:after="100"/>
            </w:pPr>
            <w:r>
              <w:rPr>
                <w:rFonts w:ascii="Calibri" w:eastAsia="Calibri" w:hAnsi="Calibri" w:cs="Calibri"/>
                <w:b/>
                <w:bCs/>
                <w:color w:val="1F3864"/>
              </w:rPr>
              <w:t>Warning: The Hold-Up Problem</w:t>
            </w:r>
          </w:p>
          <w:p w14:paraId="51B26486" w14:textId="77777777" w:rsidR="00305695" w:rsidRDefault="009163A3">
            <w:pPr>
              <w:spacing w:after="60" w:line="280" w:lineRule="auto"/>
              <w:jc w:val="both"/>
            </w:pPr>
            <w:r>
              <w:rPr>
                <w:i/>
                <w:iCs/>
                <w:sz w:val="22"/>
                <w:szCs w:val="22"/>
              </w:rPr>
              <w:t>This dynamic has a name in economic literature: the “hold-up problem.” When the government can credibly threaten to expropriate an investment after it is made, rational investors will not make the investment in the first place. The result is under-investment, deteriorating infrastructure, and a genuine crisis that only the government can resolve — because the private sector has already withdrawn. The policy creates the conditions that justify the policy.</w:t>
            </w:r>
          </w:p>
        </w:tc>
      </w:tr>
    </w:tbl>
    <w:p w14:paraId="4FC2894E" w14:textId="77777777" w:rsidR="00305695" w:rsidRDefault="00305695">
      <w:pPr>
        <w:spacing w:after="200"/>
      </w:pPr>
    </w:p>
    <w:p w14:paraId="751A5431" w14:textId="77777777" w:rsidR="00305695" w:rsidRDefault="009163A3">
      <w:pPr>
        <w:spacing w:before="360" w:after="200"/>
      </w:pPr>
      <w:r>
        <w:rPr>
          <w:rFonts w:ascii="Calibri" w:eastAsia="Calibri" w:hAnsi="Calibri" w:cs="Calibri"/>
          <w:b/>
          <w:bCs/>
          <w:color w:val="1F3864"/>
          <w:sz w:val="32"/>
          <w:szCs w:val="32"/>
        </w:rPr>
        <w:t>Section IV — The Workers ARE the Capitalist Class</w:t>
      </w:r>
    </w:p>
    <w:p w14:paraId="0E1CDA5C" w14:textId="77777777" w:rsidR="00305695" w:rsidRDefault="009163A3">
      <w:pPr>
        <w:jc w:val="both"/>
      </w:pPr>
      <w:r>
        <w:t>DSA frames its program as “workers versus the capitalist class.” This framing requires that workers and capitalists be distinct groups. They are not, in contemporary America.</w:t>
      </w:r>
    </w:p>
    <w:p w14:paraId="03F1A6F6" w14:textId="77777777" w:rsidR="00305695" w:rsidRDefault="009163A3">
      <w:pPr>
        <w:spacing w:before="240" w:after="120"/>
      </w:pPr>
      <w:r>
        <w:rPr>
          <w:rFonts w:ascii="Calibri" w:eastAsia="Calibri" w:hAnsi="Calibri" w:cs="Calibri"/>
          <w:b/>
          <w:bCs/>
          <w:color w:val="1F3864"/>
          <w:sz w:val="26"/>
          <w:szCs w:val="26"/>
        </w:rPr>
        <w:t>The Numbers</w:t>
      </w:r>
    </w:p>
    <w:p w14:paraId="689ECCEF" w14:textId="39B65D7B" w:rsidR="00305695" w:rsidRDefault="009163A3" w:rsidP="00197E7B">
      <w:pPr>
        <w:pStyle w:val="ListParagraph"/>
        <w:numPr>
          <w:ilvl w:val="0"/>
          <w:numId w:val="5"/>
        </w:numPr>
        <w:spacing w:after="100" w:line="280" w:lineRule="auto"/>
      </w:pPr>
      <w:r>
        <w:t>Total U.S. household net worth: approximately $156 trillion (Federal Reserve, 2024 Q4)</w:t>
      </w:r>
    </w:p>
    <w:p w14:paraId="2F28D50D" w14:textId="77777777" w:rsidR="00305695" w:rsidRDefault="009163A3" w:rsidP="00197E7B">
      <w:pPr>
        <w:pStyle w:val="ListParagraph"/>
        <w:numPr>
          <w:ilvl w:val="0"/>
          <w:numId w:val="5"/>
        </w:numPr>
        <w:spacing w:after="100" w:line="280" w:lineRule="auto"/>
      </w:pPr>
      <w:r>
        <w:t>H</w:t>
      </w:r>
      <w:r>
        <w:t>ome equity owned by households: approximately $35 trillion — the single largest asset class for middle-income Americans</w:t>
      </w:r>
    </w:p>
    <w:p w14:paraId="4C822099" w14:textId="77777777" w:rsidR="00305695" w:rsidRDefault="009163A3" w:rsidP="00197E7B">
      <w:pPr>
        <w:pStyle w:val="ListParagraph"/>
        <w:numPr>
          <w:ilvl w:val="0"/>
          <w:numId w:val="5"/>
        </w:numPr>
        <w:spacing w:after="100" w:line="280" w:lineRule="auto"/>
      </w:pPr>
      <w:r>
        <w:t>Retirement accounts (IRAs, 401(k)s, 403(b)s): approximately $40+ trillion</w:t>
      </w:r>
    </w:p>
    <w:p w14:paraId="3729755C" w14:textId="77777777" w:rsidR="00305695" w:rsidRDefault="009163A3" w:rsidP="00197E7B">
      <w:pPr>
        <w:pStyle w:val="ListParagraph"/>
        <w:numPr>
          <w:ilvl w:val="0"/>
          <w:numId w:val="5"/>
        </w:numPr>
        <w:spacing w:after="100" w:line="280" w:lineRule="auto"/>
      </w:pPr>
      <w:r>
        <w:t>Direct stock ownership by households: trillions more</w:t>
      </w:r>
    </w:p>
    <w:p w14:paraId="4C8813DA" w14:textId="77777777" w:rsidR="00305695" w:rsidRDefault="009163A3" w:rsidP="00197E7B">
      <w:pPr>
        <w:pStyle w:val="ListParagraph"/>
        <w:numPr>
          <w:ilvl w:val="0"/>
          <w:numId w:val="5"/>
        </w:numPr>
        <w:spacing w:after="100" w:line="280" w:lineRule="auto"/>
      </w:pPr>
      <w:proofErr w:type="gramStart"/>
      <w:r>
        <w:t>The majority of</w:t>
      </w:r>
      <w:proofErr w:type="gramEnd"/>
      <w:r>
        <w:t xml:space="preserve"> corporate equity in the United States is owned through pension funds, 401(k) plans, and IRAs — meaning the “workers” ARE the shareholders, indirectly</w:t>
      </w:r>
    </w:p>
    <w:p w14:paraId="1B6E6C56" w14:textId="77777777" w:rsidR="00305695" w:rsidRDefault="009163A3">
      <w:pPr>
        <w:spacing w:before="240" w:after="120"/>
      </w:pPr>
      <w:r>
        <w:rPr>
          <w:rFonts w:ascii="Calibri" w:eastAsia="Calibri" w:hAnsi="Calibri" w:cs="Calibri"/>
          <w:b/>
          <w:bCs/>
          <w:color w:val="1F3864"/>
          <w:sz w:val="26"/>
          <w:szCs w:val="26"/>
        </w:rPr>
        <w:t>Where the Wealth Actually Lives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0"/>
        <w:gridCol w:w="2327"/>
        <w:gridCol w:w="3019"/>
      </w:tblGrid>
      <w:tr w:rsidR="00305695" w14:paraId="6B185E64" w14:textId="77777777">
        <w:tblPrEx>
          <w:tblCellMar>
            <w:top w:w="0" w:type="dxa"/>
            <w:bottom w:w="0" w:type="dxa"/>
          </w:tblCellMar>
        </w:tblPrEx>
        <w:trPr>
          <w:tblHeader/>
        </w:trPr>
        <w:tc>
          <w:tcPr>
            <w:tcW w:w="0" w:type="auto"/>
            <w:shd w:val="clear" w:color="auto" w:fill="1F3864"/>
            <w:tcMar>
              <w:top w:w="120" w:type="dxa"/>
              <w:left w:w="160" w:type="dxa"/>
              <w:bottom w:w="120" w:type="dxa"/>
              <w:right w:w="160" w:type="dxa"/>
            </w:tcMar>
          </w:tcPr>
          <w:p w14:paraId="763EE66C" w14:textId="77777777" w:rsidR="00305695" w:rsidRDefault="009163A3">
            <w:r>
              <w:rPr>
                <w:rFonts w:ascii="Calibri" w:eastAsia="Calibri" w:hAnsi="Calibri" w:cs="Calibri"/>
                <w:b/>
                <w:bCs/>
                <w:color w:val="FFFFFF"/>
                <w:sz w:val="22"/>
                <w:szCs w:val="22"/>
              </w:rPr>
              <w:t>Asset Class</w:t>
            </w:r>
          </w:p>
        </w:tc>
        <w:tc>
          <w:tcPr>
            <w:tcW w:w="0" w:type="auto"/>
            <w:shd w:val="clear" w:color="auto" w:fill="1F3864"/>
            <w:tcMar>
              <w:top w:w="120" w:type="dxa"/>
              <w:left w:w="160" w:type="dxa"/>
              <w:bottom w:w="120" w:type="dxa"/>
              <w:right w:w="160" w:type="dxa"/>
            </w:tcMar>
          </w:tcPr>
          <w:p w14:paraId="661AAC80" w14:textId="77777777" w:rsidR="00305695" w:rsidRDefault="009163A3">
            <w:r>
              <w:rPr>
                <w:rFonts w:ascii="Calibri" w:eastAsia="Calibri" w:hAnsi="Calibri" w:cs="Calibri"/>
                <w:b/>
                <w:bCs/>
                <w:color w:val="FFFFFF"/>
                <w:sz w:val="22"/>
                <w:szCs w:val="22"/>
              </w:rPr>
              <w:t>Approximate Total</w:t>
            </w:r>
          </w:p>
        </w:tc>
        <w:tc>
          <w:tcPr>
            <w:tcW w:w="0" w:type="auto"/>
            <w:shd w:val="clear" w:color="auto" w:fill="1F3864"/>
            <w:tcMar>
              <w:top w:w="120" w:type="dxa"/>
              <w:left w:w="160" w:type="dxa"/>
              <w:bottom w:w="120" w:type="dxa"/>
              <w:right w:w="160" w:type="dxa"/>
            </w:tcMar>
          </w:tcPr>
          <w:p w14:paraId="2858A0AA" w14:textId="77777777" w:rsidR="00305695" w:rsidRDefault="009163A3">
            <w:r>
              <w:rPr>
                <w:rFonts w:ascii="Calibri" w:eastAsia="Calibri" w:hAnsi="Calibri" w:cs="Calibri"/>
                <w:b/>
                <w:bCs/>
                <w:color w:val="FFFFFF"/>
                <w:sz w:val="22"/>
                <w:szCs w:val="22"/>
              </w:rPr>
              <w:t>Primary Holders</w:t>
            </w:r>
          </w:p>
        </w:tc>
      </w:tr>
      <w:tr w:rsidR="00305695" w14:paraId="17E59213" w14:textId="77777777">
        <w:tblPrEx>
          <w:tblCellMar>
            <w:top w:w="0" w:type="dxa"/>
            <w:bottom w:w="0" w:type="dxa"/>
          </w:tblCellMar>
        </w:tblPrEx>
        <w:tc>
          <w:tcPr>
            <w:tcW w:w="0" w:type="auto"/>
            <w:tcMar>
              <w:top w:w="100" w:type="dxa"/>
              <w:left w:w="160" w:type="dxa"/>
              <w:bottom w:w="100" w:type="dxa"/>
              <w:right w:w="160" w:type="dxa"/>
            </w:tcMar>
          </w:tcPr>
          <w:p w14:paraId="20EA0ADB" w14:textId="77777777" w:rsidR="00305695" w:rsidRDefault="009163A3">
            <w:r>
              <w:rPr>
                <w:sz w:val="22"/>
                <w:szCs w:val="22"/>
              </w:rPr>
              <w:t>Home equity</w:t>
            </w:r>
          </w:p>
        </w:tc>
        <w:tc>
          <w:tcPr>
            <w:tcW w:w="0" w:type="auto"/>
            <w:tcMar>
              <w:top w:w="100" w:type="dxa"/>
              <w:left w:w="160" w:type="dxa"/>
              <w:bottom w:w="100" w:type="dxa"/>
              <w:right w:w="160" w:type="dxa"/>
            </w:tcMar>
          </w:tcPr>
          <w:p w14:paraId="4DAF3605" w14:textId="77777777" w:rsidR="00305695" w:rsidRDefault="009163A3">
            <w:r>
              <w:rPr>
                <w:sz w:val="22"/>
                <w:szCs w:val="22"/>
              </w:rPr>
              <w:t>~$35 trillion</w:t>
            </w:r>
          </w:p>
        </w:tc>
        <w:tc>
          <w:tcPr>
            <w:tcW w:w="0" w:type="auto"/>
            <w:tcMar>
              <w:top w:w="100" w:type="dxa"/>
              <w:left w:w="160" w:type="dxa"/>
              <w:bottom w:w="100" w:type="dxa"/>
              <w:right w:w="160" w:type="dxa"/>
            </w:tcMar>
          </w:tcPr>
          <w:p w14:paraId="55B83C13" w14:textId="77777777" w:rsidR="00305695" w:rsidRDefault="009163A3">
            <w:r>
              <w:rPr>
                <w:sz w:val="22"/>
                <w:szCs w:val="22"/>
              </w:rPr>
              <w:t>Middle-class homeowners</w:t>
            </w:r>
          </w:p>
        </w:tc>
      </w:tr>
      <w:tr w:rsidR="00305695" w14:paraId="2D88472B" w14:textId="77777777">
        <w:tblPrEx>
          <w:tblCellMar>
            <w:top w:w="0" w:type="dxa"/>
            <w:bottom w:w="0" w:type="dxa"/>
          </w:tblCellMar>
        </w:tblPrEx>
        <w:tc>
          <w:tcPr>
            <w:tcW w:w="0" w:type="auto"/>
            <w:tcMar>
              <w:top w:w="100" w:type="dxa"/>
              <w:left w:w="160" w:type="dxa"/>
              <w:bottom w:w="100" w:type="dxa"/>
              <w:right w:w="160" w:type="dxa"/>
            </w:tcMar>
          </w:tcPr>
          <w:p w14:paraId="5D21AF54" w14:textId="77777777" w:rsidR="00305695" w:rsidRDefault="009163A3">
            <w:r>
              <w:rPr>
                <w:sz w:val="22"/>
                <w:szCs w:val="22"/>
              </w:rPr>
              <w:lastRenderedPageBreak/>
              <w:t>Retirement accounts (401k/IRA)</w:t>
            </w:r>
          </w:p>
        </w:tc>
        <w:tc>
          <w:tcPr>
            <w:tcW w:w="0" w:type="auto"/>
            <w:tcMar>
              <w:top w:w="100" w:type="dxa"/>
              <w:left w:w="160" w:type="dxa"/>
              <w:bottom w:w="100" w:type="dxa"/>
              <w:right w:w="160" w:type="dxa"/>
            </w:tcMar>
          </w:tcPr>
          <w:p w14:paraId="70500DD8" w14:textId="77777777" w:rsidR="00305695" w:rsidRDefault="009163A3">
            <w:r>
              <w:rPr>
                <w:sz w:val="22"/>
                <w:szCs w:val="22"/>
              </w:rPr>
              <w:t>~$40 trillion</w:t>
            </w:r>
          </w:p>
        </w:tc>
        <w:tc>
          <w:tcPr>
            <w:tcW w:w="0" w:type="auto"/>
            <w:tcMar>
              <w:top w:w="100" w:type="dxa"/>
              <w:left w:w="160" w:type="dxa"/>
              <w:bottom w:w="100" w:type="dxa"/>
              <w:right w:w="160" w:type="dxa"/>
            </w:tcMar>
          </w:tcPr>
          <w:p w14:paraId="4A2FF9A0" w14:textId="77777777" w:rsidR="00305695" w:rsidRDefault="009163A3">
            <w:r>
              <w:rPr>
                <w:sz w:val="22"/>
                <w:szCs w:val="22"/>
              </w:rPr>
              <w:t>Working Americans</w:t>
            </w:r>
          </w:p>
        </w:tc>
      </w:tr>
      <w:tr w:rsidR="00305695" w14:paraId="453F107F" w14:textId="77777777">
        <w:tblPrEx>
          <w:tblCellMar>
            <w:top w:w="0" w:type="dxa"/>
            <w:bottom w:w="0" w:type="dxa"/>
          </w:tblCellMar>
        </w:tblPrEx>
        <w:tc>
          <w:tcPr>
            <w:tcW w:w="0" w:type="auto"/>
            <w:tcMar>
              <w:top w:w="100" w:type="dxa"/>
              <w:left w:w="160" w:type="dxa"/>
              <w:bottom w:w="100" w:type="dxa"/>
              <w:right w:w="160" w:type="dxa"/>
            </w:tcMar>
          </w:tcPr>
          <w:p w14:paraId="601F0081" w14:textId="77777777" w:rsidR="00305695" w:rsidRDefault="009163A3">
            <w:r>
              <w:rPr>
                <w:sz w:val="22"/>
                <w:szCs w:val="22"/>
              </w:rPr>
              <w:t>Pension fund assets</w:t>
            </w:r>
          </w:p>
        </w:tc>
        <w:tc>
          <w:tcPr>
            <w:tcW w:w="0" w:type="auto"/>
            <w:tcMar>
              <w:top w:w="100" w:type="dxa"/>
              <w:left w:w="160" w:type="dxa"/>
              <w:bottom w:w="100" w:type="dxa"/>
              <w:right w:w="160" w:type="dxa"/>
            </w:tcMar>
          </w:tcPr>
          <w:p w14:paraId="2063446F" w14:textId="77777777" w:rsidR="00305695" w:rsidRDefault="009163A3">
            <w:r>
              <w:rPr>
                <w:sz w:val="22"/>
                <w:szCs w:val="22"/>
              </w:rPr>
              <w:t>~$22 trillion</w:t>
            </w:r>
          </w:p>
        </w:tc>
        <w:tc>
          <w:tcPr>
            <w:tcW w:w="0" w:type="auto"/>
            <w:tcMar>
              <w:top w:w="100" w:type="dxa"/>
              <w:left w:w="160" w:type="dxa"/>
              <w:bottom w:w="100" w:type="dxa"/>
              <w:right w:w="160" w:type="dxa"/>
            </w:tcMar>
          </w:tcPr>
          <w:p w14:paraId="1B451B8F" w14:textId="77777777" w:rsidR="00305695" w:rsidRDefault="009163A3">
            <w:r>
              <w:rPr>
                <w:sz w:val="22"/>
                <w:szCs w:val="22"/>
              </w:rPr>
              <w:t>Public/private workers</w:t>
            </w:r>
          </w:p>
        </w:tc>
      </w:tr>
      <w:tr w:rsidR="00305695" w14:paraId="0C7A849F" w14:textId="77777777">
        <w:tblPrEx>
          <w:tblCellMar>
            <w:top w:w="0" w:type="dxa"/>
            <w:bottom w:w="0" w:type="dxa"/>
          </w:tblCellMar>
        </w:tblPrEx>
        <w:tc>
          <w:tcPr>
            <w:tcW w:w="0" w:type="auto"/>
            <w:tcMar>
              <w:top w:w="100" w:type="dxa"/>
              <w:left w:w="160" w:type="dxa"/>
              <w:bottom w:w="100" w:type="dxa"/>
              <w:right w:w="160" w:type="dxa"/>
            </w:tcMar>
          </w:tcPr>
          <w:p w14:paraId="1F689FEC" w14:textId="77777777" w:rsidR="00305695" w:rsidRDefault="009163A3">
            <w:r>
              <w:rPr>
                <w:sz w:val="22"/>
                <w:szCs w:val="22"/>
              </w:rPr>
              <w:t>Direct stock ownership</w:t>
            </w:r>
          </w:p>
        </w:tc>
        <w:tc>
          <w:tcPr>
            <w:tcW w:w="0" w:type="auto"/>
            <w:tcMar>
              <w:top w:w="100" w:type="dxa"/>
              <w:left w:w="160" w:type="dxa"/>
              <w:bottom w:w="100" w:type="dxa"/>
              <w:right w:w="160" w:type="dxa"/>
            </w:tcMar>
          </w:tcPr>
          <w:p w14:paraId="0BCBD4AA" w14:textId="77777777" w:rsidR="00305695" w:rsidRDefault="009163A3">
            <w:r>
              <w:rPr>
                <w:sz w:val="22"/>
                <w:szCs w:val="22"/>
              </w:rPr>
              <w:t>~$15 trillion</w:t>
            </w:r>
          </w:p>
        </w:tc>
        <w:tc>
          <w:tcPr>
            <w:tcW w:w="0" w:type="auto"/>
            <w:tcMar>
              <w:top w:w="100" w:type="dxa"/>
              <w:left w:w="160" w:type="dxa"/>
              <w:bottom w:w="100" w:type="dxa"/>
              <w:right w:w="160" w:type="dxa"/>
            </w:tcMar>
          </w:tcPr>
          <w:p w14:paraId="25AA2C84" w14:textId="77777777" w:rsidR="00305695" w:rsidRDefault="009163A3">
            <w:r>
              <w:rPr>
                <w:sz w:val="22"/>
                <w:szCs w:val="22"/>
              </w:rPr>
              <w:t>Broadly distributed</w:t>
            </w:r>
          </w:p>
        </w:tc>
      </w:tr>
    </w:tbl>
    <w:p w14:paraId="533E71DF" w14:textId="77777777" w:rsidR="00305695" w:rsidRDefault="00305695">
      <w:pPr>
        <w:spacing w:after="200"/>
      </w:pPr>
    </w:p>
    <w:p w14:paraId="1DA35500" w14:textId="77777777" w:rsidR="00305695" w:rsidRDefault="009163A3">
      <w:pPr>
        <w:jc w:val="both"/>
      </w:pPr>
      <w:r>
        <w:t>When DSA calls for “</w:t>
      </w:r>
      <w:proofErr w:type="spellStart"/>
      <w:r>
        <w:t>decommodifying</w:t>
      </w:r>
      <w:proofErr w:type="spellEnd"/>
      <w:r>
        <w:t>” housing — removing it from market pricing — it proposes to destroy $35 trillion in household wealth. The primary victims are not billionaires. They are the middle-class homeowners who have spent 30 years paying a mortgage to accumulate that equity.</w:t>
      </w:r>
    </w:p>
    <w:p w14:paraId="1E00A470" w14:textId="77777777" w:rsidR="00305695" w:rsidRDefault="009163A3">
      <w:pPr>
        <w:jc w:val="both"/>
      </w:pPr>
      <w:r>
        <w:t>When DSA calls for public ownership of major corporations, it proposes to restructure the assets underlying $40+ trillion in retirement accounts. A worker whose 401(k) holds S&amp;P 500 index funds has a financial stake in every major corporation in America. “Public ownership” of those corporations is nationalization of that worker's retirement savings.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91"/>
      </w:tblGrid>
      <w:tr w:rsidR="00305695" w14:paraId="373C2D2C" w14:textId="77777777">
        <w:tblPrEx>
          <w:tblCellMar>
            <w:top w:w="0" w:type="dxa"/>
            <w:bottom w:w="0" w:type="dxa"/>
          </w:tblCellMar>
        </w:tblPrEx>
        <w:tc>
          <w:tcPr>
            <w:tcW w:w="5000" w:type="pct"/>
            <w:tcBorders>
              <w:top w:val="single" w:sz="4" w:space="0" w:color="1F3864"/>
              <w:left w:val="single" w:sz="24" w:space="0" w:color="1F3864"/>
              <w:bottom w:val="single" w:sz="4" w:space="0" w:color="1F3864"/>
              <w:right w:val="single" w:sz="4" w:space="0" w:color="1F3864"/>
            </w:tcBorders>
            <w:shd w:val="clear" w:color="auto" w:fill="F0F0F0"/>
            <w:tcMar>
              <w:top w:w="200" w:type="dxa"/>
              <w:left w:w="240" w:type="dxa"/>
              <w:bottom w:w="200" w:type="dxa"/>
              <w:right w:w="240" w:type="dxa"/>
            </w:tcMar>
          </w:tcPr>
          <w:p w14:paraId="19B12273" w14:textId="77777777" w:rsidR="00305695" w:rsidRDefault="009163A3">
            <w:pPr>
              <w:spacing w:after="100"/>
            </w:pPr>
            <w:r>
              <w:rPr>
                <w:rFonts w:ascii="Calibri" w:eastAsia="Calibri" w:hAnsi="Calibri" w:cs="Calibri"/>
                <w:b/>
                <w:bCs/>
                <w:color w:val="1F3864"/>
              </w:rPr>
              <w:t>The Real Political Economy</w:t>
            </w:r>
          </w:p>
          <w:p w14:paraId="3B834D60" w14:textId="77777777" w:rsidR="00305695" w:rsidRDefault="009163A3">
            <w:pPr>
              <w:spacing w:after="60" w:line="280" w:lineRule="auto"/>
              <w:jc w:val="both"/>
            </w:pPr>
            <w:r>
              <w:rPr>
                <w:i/>
                <w:iCs/>
                <w:sz w:val="22"/>
                <w:szCs w:val="22"/>
              </w:rPr>
              <w:t xml:space="preserve">The political economy of DSA's program is not “workers versus owners.” It is “workers with financial assets versus workers without financial assets.” The homeowner and the renter. The worker with </w:t>
            </w:r>
            <w:proofErr w:type="gramStart"/>
            <w:r>
              <w:rPr>
                <w:i/>
                <w:iCs/>
                <w:sz w:val="22"/>
                <w:szCs w:val="22"/>
              </w:rPr>
              <w:t>a 401</w:t>
            </w:r>
            <w:proofErr w:type="gramEnd"/>
            <w:r>
              <w:rPr>
                <w:i/>
                <w:iCs/>
                <w:sz w:val="22"/>
                <w:szCs w:val="22"/>
              </w:rPr>
              <w:t>(k) and the worker living paycheck to paycheck. DSA's program transfers wealth from the first group to the second. That may or may not be desirable policy. But framing it as “ending exploitation by the capitalist class” while the capitalist class is primarily composed of the middle-class homeowners and retirees whose wealth you are redistributing is, at minimum, a significant misdirection.</w:t>
            </w:r>
          </w:p>
        </w:tc>
      </w:tr>
    </w:tbl>
    <w:p w14:paraId="1A9DCDE6" w14:textId="77777777" w:rsidR="00305695" w:rsidRDefault="00305695">
      <w:pPr>
        <w:spacing w:after="200"/>
      </w:pPr>
    </w:p>
    <w:p w14:paraId="32F0AD06" w14:textId="77777777" w:rsidR="00305695" w:rsidRDefault="009163A3">
      <w:pPr>
        <w:spacing w:before="360" w:after="200"/>
      </w:pPr>
      <w:r>
        <w:rPr>
          <w:rFonts w:ascii="Calibri" w:eastAsia="Calibri" w:hAnsi="Calibri" w:cs="Calibri"/>
          <w:b/>
          <w:bCs/>
          <w:color w:val="1F3864"/>
          <w:sz w:val="32"/>
          <w:szCs w:val="32"/>
        </w:rPr>
        <w:t>Section V — Historical Precedents: The Arc Plays Out</w:t>
      </w:r>
    </w:p>
    <w:p w14:paraId="562A890F" w14:textId="77777777" w:rsidR="00305695" w:rsidRDefault="009163A3">
      <w:pPr>
        <w:jc w:val="both"/>
      </w:pPr>
      <w:r>
        <w:t>Three case studies show the structural arc: reform → dependency → crisis → government expansion. None is a perfect analog for the United States. All show the same mechanism operating in different institutional contexts.</w:t>
      </w:r>
    </w:p>
    <w:p w14:paraId="38D8E209" w14:textId="77777777" w:rsidR="00305695" w:rsidRDefault="009163A3">
      <w:pPr>
        <w:spacing w:before="240" w:after="120"/>
      </w:pPr>
      <w:r>
        <w:rPr>
          <w:rFonts w:ascii="Calibri" w:eastAsia="Calibri" w:hAnsi="Calibri" w:cs="Calibri"/>
          <w:b/>
          <w:bCs/>
          <w:color w:val="1F3864"/>
          <w:sz w:val="26"/>
          <w:szCs w:val="26"/>
        </w:rPr>
        <w:t>Case Study 1: United Kingdom 1945–1979</w:t>
      </w:r>
    </w:p>
    <w:p w14:paraId="73644816" w14:textId="39CF9119" w:rsidR="00305695" w:rsidRDefault="009163A3" w:rsidP="00197E7B">
      <w:pPr>
        <w:pStyle w:val="ListParagraph"/>
        <w:numPr>
          <w:ilvl w:val="0"/>
          <w:numId w:val="6"/>
        </w:numPr>
        <w:spacing w:after="100" w:line="280" w:lineRule="auto"/>
      </w:pPr>
      <w:r>
        <w:t xml:space="preserve">1945: </w:t>
      </w:r>
      <w:proofErr w:type="spellStart"/>
      <w:r>
        <w:t>Labour</w:t>
      </w:r>
      <w:proofErr w:type="spellEnd"/>
      <w:r>
        <w:t xml:space="preserve"> wins landslide; nationalizes coal, steel, railways, telephones, utilities.</w:t>
      </w:r>
    </w:p>
    <w:p w14:paraId="692E6582" w14:textId="77777777" w:rsidR="00305695" w:rsidRDefault="009163A3" w:rsidP="00197E7B">
      <w:pPr>
        <w:pStyle w:val="ListParagraph"/>
        <w:numPr>
          <w:ilvl w:val="0"/>
          <w:numId w:val="6"/>
        </w:numPr>
        <w:spacing w:after="100" w:line="280" w:lineRule="auto"/>
      </w:pPr>
      <w:r>
        <w:t>L</w:t>
      </w:r>
      <w:r>
        <w:t>egal mechanism: Compensation paid to prior owners (expensive), funded by postwar debt.</w:t>
      </w:r>
    </w:p>
    <w:p w14:paraId="33F90D42" w14:textId="77777777" w:rsidR="00305695" w:rsidRDefault="009163A3" w:rsidP="00197E7B">
      <w:pPr>
        <w:pStyle w:val="ListParagraph"/>
        <w:numPr>
          <w:ilvl w:val="0"/>
          <w:numId w:val="6"/>
        </w:numPr>
        <w:spacing w:after="100" w:line="280" w:lineRule="auto"/>
      </w:pPr>
      <w:r>
        <w:lastRenderedPageBreak/>
        <w:t>Result: Nationalized industries became patronage vehicles, resisted productivity improvements, ran chronic deficits.</w:t>
      </w:r>
    </w:p>
    <w:p w14:paraId="747E7F6E" w14:textId="77777777" w:rsidR="00305695" w:rsidRDefault="009163A3" w:rsidP="00197E7B">
      <w:pPr>
        <w:pStyle w:val="ListParagraph"/>
        <w:numPr>
          <w:ilvl w:val="0"/>
          <w:numId w:val="6"/>
        </w:numPr>
        <w:spacing w:after="100" w:line="280" w:lineRule="auto"/>
      </w:pPr>
      <w:r>
        <w:t>1970s: Energy crisis + labor militancy = “Winter of Discontent” — rubbish uncollected, hospitals turning away patients, the dead unburied in some regions.</w:t>
      </w:r>
    </w:p>
    <w:p w14:paraId="33EB92BA" w14:textId="77777777" w:rsidR="00305695" w:rsidRDefault="009163A3" w:rsidP="00197E7B">
      <w:pPr>
        <w:pStyle w:val="ListParagraph"/>
        <w:numPr>
          <w:ilvl w:val="0"/>
          <w:numId w:val="6"/>
        </w:numPr>
        <w:spacing w:after="100" w:line="280" w:lineRule="auto"/>
      </w:pPr>
      <w:r>
        <w:t>1979: Thatcher elected; reversed nationalizations — demonstrating that one-way doors CAN be forced open, at enormous economic and political cost.</w:t>
      </w:r>
    </w:p>
    <w:p w14:paraId="6F68B578" w14:textId="77777777" w:rsidR="00305695" w:rsidRDefault="009163A3" w:rsidP="00197E7B">
      <w:pPr>
        <w:pStyle w:val="ListParagraph"/>
        <w:numPr>
          <w:ilvl w:val="0"/>
          <w:numId w:val="6"/>
        </w:numPr>
        <w:spacing w:after="100" w:line="280" w:lineRule="auto"/>
      </w:pPr>
      <w:r>
        <w:t>Lesson: Nationalization IS achievable through legal democratic means. It produces the outcomes critics predict — inefficiency, dependency</w:t>
      </w:r>
      <w:proofErr w:type="gramStart"/>
      <w:r>
        <w:t>, crisis</w:t>
      </w:r>
      <w:proofErr w:type="gramEnd"/>
      <w:r>
        <w:t>. Reversal is possible but painful.</w:t>
      </w:r>
    </w:p>
    <w:p w14:paraId="1F06BCE0" w14:textId="77777777" w:rsidR="00305695" w:rsidRDefault="009163A3">
      <w:pPr>
        <w:spacing w:before="240" w:after="120"/>
      </w:pPr>
      <w:r>
        <w:rPr>
          <w:rFonts w:ascii="Calibri" w:eastAsia="Calibri" w:hAnsi="Calibri" w:cs="Calibri"/>
          <w:b/>
          <w:bCs/>
          <w:color w:val="1F3864"/>
          <w:sz w:val="26"/>
          <w:szCs w:val="26"/>
        </w:rPr>
        <w:t>Case Study 2: Venezuela 1998–2019</w:t>
      </w:r>
    </w:p>
    <w:p w14:paraId="60888FA6" w14:textId="48DAFCF8" w:rsidR="00305695" w:rsidRDefault="009163A3" w:rsidP="00197E7B">
      <w:pPr>
        <w:pStyle w:val="ListParagraph"/>
        <w:numPr>
          <w:ilvl w:val="0"/>
          <w:numId w:val="7"/>
        </w:numPr>
        <w:spacing w:after="100" w:line="280" w:lineRule="auto"/>
      </w:pPr>
      <w:r>
        <w:t>Hugo Chávez elected 1998 on explicitly socialist platform, similar in rhetoric to DSA — anti-capitalism, workers' control, social programs.</w:t>
      </w:r>
    </w:p>
    <w:p w14:paraId="71FBCEEF" w14:textId="77777777" w:rsidR="00305695" w:rsidRDefault="009163A3" w:rsidP="00197E7B">
      <w:pPr>
        <w:pStyle w:val="ListParagraph"/>
        <w:numPr>
          <w:ilvl w:val="0"/>
          <w:numId w:val="7"/>
        </w:numPr>
        <w:spacing w:after="100" w:line="280" w:lineRule="auto"/>
      </w:pPr>
      <w:r>
        <w:t>M</w:t>
      </w:r>
      <w:r>
        <w:t>ethodology: Used oil revenues to fund social programs (education, healthcare, housing subsidies) that created mass dependency; then nationalized oil sector, agriculture, retail.</w:t>
      </w:r>
    </w:p>
    <w:p w14:paraId="643E9BC9" w14:textId="77777777" w:rsidR="00305695" w:rsidRDefault="009163A3" w:rsidP="00197E7B">
      <w:pPr>
        <w:pStyle w:val="ListParagraph"/>
        <w:numPr>
          <w:ilvl w:val="0"/>
          <w:numId w:val="7"/>
        </w:numPr>
        <w:spacing w:after="100" w:line="280" w:lineRule="auto"/>
      </w:pPr>
      <w:r>
        <w:t>Incremental approach: Each nationalization was presented as a response to a crisis (food shortages → nationalize supermarkets; housing shortage → seize apartment buildings).</w:t>
      </w:r>
    </w:p>
    <w:p w14:paraId="50EB5CB0" w14:textId="77777777" w:rsidR="00305695" w:rsidRDefault="009163A3" w:rsidP="00197E7B">
      <w:pPr>
        <w:pStyle w:val="ListParagraph"/>
        <w:numPr>
          <w:ilvl w:val="0"/>
          <w:numId w:val="7"/>
        </w:numPr>
        <w:spacing w:after="100" w:line="280" w:lineRule="auto"/>
      </w:pPr>
      <w:r>
        <w:t>Result by 2019: GDP collapsed 65%; hyperinflation peaked at 1,000,000% annually; 5+ million fled the country; malnutrition became widespread.</w:t>
      </w:r>
    </w:p>
    <w:p w14:paraId="704FB0A3" w14:textId="77777777" w:rsidR="00305695" w:rsidRDefault="009163A3" w:rsidP="00197E7B">
      <w:pPr>
        <w:pStyle w:val="ListParagraph"/>
        <w:numPr>
          <w:ilvl w:val="0"/>
          <w:numId w:val="7"/>
        </w:numPr>
        <w:spacing w:after="100" w:line="280" w:lineRule="auto"/>
      </w:pPr>
      <w:r>
        <w:t>Lesson: The socialist transformation did happen through incremental steps. The endpoint was not Communist utopia but economic collapse and authoritarian consolidation.</w:t>
      </w:r>
    </w:p>
    <w:p w14:paraId="3C386237" w14:textId="77777777" w:rsidR="00305695" w:rsidRDefault="009163A3">
      <w:pPr>
        <w:spacing w:before="240" w:after="120"/>
      </w:pPr>
      <w:r>
        <w:rPr>
          <w:rFonts w:ascii="Calibri" w:eastAsia="Calibri" w:hAnsi="Calibri" w:cs="Calibri"/>
          <w:b/>
          <w:bCs/>
          <w:color w:val="1F3864"/>
          <w:sz w:val="26"/>
          <w:szCs w:val="26"/>
        </w:rPr>
        <w:t>Case Study 3: Argentina's Kirchner Era (2003–2015)</w:t>
      </w:r>
    </w:p>
    <w:p w14:paraId="5A1C9B57" w14:textId="0101E178" w:rsidR="00305695" w:rsidRDefault="009163A3" w:rsidP="00B22D17">
      <w:pPr>
        <w:pStyle w:val="ListParagraph"/>
        <w:numPr>
          <w:ilvl w:val="0"/>
          <w:numId w:val="8"/>
        </w:numPr>
        <w:spacing w:after="100" w:line="280" w:lineRule="auto"/>
      </w:pPr>
      <w:r>
        <w:t>Less dramatic but instructive: partial nationalizations (</w:t>
      </w:r>
      <w:proofErr w:type="spellStart"/>
      <w:r>
        <w:t>Aerolíneas</w:t>
      </w:r>
      <w:proofErr w:type="spellEnd"/>
      <w:r>
        <w:t xml:space="preserve"> </w:t>
      </w:r>
      <w:proofErr w:type="spellStart"/>
      <w:r>
        <w:t>Argentinas</w:t>
      </w:r>
      <w:proofErr w:type="spellEnd"/>
      <w:r>
        <w:t>, YPF oil company), heavy price controls, capital controls.</w:t>
      </w:r>
    </w:p>
    <w:p w14:paraId="16803DC3" w14:textId="77777777" w:rsidR="00305695" w:rsidRDefault="009163A3" w:rsidP="00B22D17">
      <w:pPr>
        <w:pStyle w:val="ListParagraph"/>
        <w:numPr>
          <w:ilvl w:val="0"/>
          <w:numId w:val="8"/>
        </w:numPr>
        <w:spacing w:after="100" w:line="280" w:lineRule="auto"/>
      </w:pPr>
      <w:r>
        <w:t>R</w:t>
      </w:r>
      <w:r>
        <w:t>esult: Inflation, capital flight, currency crisis, Vaca Muerta oil field development stalled for years because no private investor would commit capital under expropriation risk.</w:t>
      </w:r>
    </w:p>
    <w:p w14:paraId="50CE1D8F" w14:textId="77777777" w:rsidR="00305695" w:rsidRDefault="009163A3" w:rsidP="00B22D17">
      <w:pPr>
        <w:pStyle w:val="ListParagraph"/>
        <w:numPr>
          <w:ilvl w:val="0"/>
          <w:numId w:val="8"/>
        </w:numPr>
        <w:spacing w:after="100" w:line="280" w:lineRule="auto"/>
      </w:pPr>
      <w:r>
        <w:t>Lesson: Partial implementation of the program produces partial versions of the predicted outcomes — not immediate collapse, but measurable damage to investment, productivity, and purchasing power.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91"/>
      </w:tblGrid>
      <w:tr w:rsidR="00305695" w14:paraId="3368647D" w14:textId="77777777">
        <w:tblPrEx>
          <w:tblCellMar>
            <w:top w:w="0" w:type="dxa"/>
            <w:bottom w:w="0" w:type="dxa"/>
          </w:tblCellMar>
        </w:tblPrEx>
        <w:tc>
          <w:tcPr>
            <w:tcW w:w="5000" w:type="pct"/>
            <w:tcBorders>
              <w:top w:val="single" w:sz="4" w:space="0" w:color="1F3864"/>
              <w:left w:val="single" w:sz="24" w:space="0" w:color="1F3864"/>
              <w:bottom w:val="single" w:sz="4" w:space="0" w:color="1F3864"/>
              <w:right w:val="single" w:sz="4" w:space="0" w:color="1F3864"/>
            </w:tcBorders>
            <w:shd w:val="clear" w:color="auto" w:fill="F0F0F0"/>
            <w:tcMar>
              <w:top w:w="200" w:type="dxa"/>
              <w:left w:w="240" w:type="dxa"/>
              <w:bottom w:w="200" w:type="dxa"/>
              <w:right w:w="240" w:type="dxa"/>
            </w:tcMar>
          </w:tcPr>
          <w:p w14:paraId="0E50C7E0" w14:textId="77777777" w:rsidR="00305695" w:rsidRDefault="009163A3">
            <w:pPr>
              <w:spacing w:after="100"/>
            </w:pPr>
            <w:r>
              <w:rPr>
                <w:rFonts w:ascii="Calibri" w:eastAsia="Calibri" w:hAnsi="Calibri" w:cs="Calibri"/>
                <w:b/>
                <w:bCs/>
                <w:color w:val="1F3864"/>
              </w:rPr>
              <w:t>The Institutional Counterpoint</w:t>
            </w:r>
          </w:p>
          <w:p w14:paraId="4C109672" w14:textId="77777777" w:rsidR="00305695" w:rsidRDefault="009163A3">
            <w:pPr>
              <w:spacing w:after="60" w:line="280" w:lineRule="auto"/>
              <w:jc w:val="both"/>
            </w:pPr>
            <w:r>
              <w:rPr>
                <w:i/>
                <w:iCs/>
                <w:sz w:val="22"/>
                <w:szCs w:val="22"/>
              </w:rPr>
              <w:t xml:space="preserve">The DSA would note, correctly, that none of these examples is the United States. The U.S. has stronger institutions, rule of law, and a more diversified economy. This is a fair point. The counterpoint is that stronger institutions create more friction against the program, not less risk </w:t>
            </w:r>
            <w:r>
              <w:rPr>
                <w:i/>
                <w:iCs/>
                <w:sz w:val="22"/>
                <w:szCs w:val="22"/>
              </w:rPr>
              <w:lastRenderedPageBreak/>
              <w:t>from it. The same institutional strength that might slow down a Chávez-style collapse also means DSA's program faces genuine constitutional barriers — the 5th Amendment's takings clause, for instance, requires “just compensation” for government seizure of private property. Buying out American capitalism at market prices would cost tens of trillions of dollars. The money doesn't exist.</w:t>
            </w:r>
          </w:p>
        </w:tc>
      </w:tr>
    </w:tbl>
    <w:p w14:paraId="46E3D76B" w14:textId="77777777" w:rsidR="00305695" w:rsidRDefault="00305695">
      <w:pPr>
        <w:spacing w:after="200"/>
      </w:pPr>
    </w:p>
    <w:p w14:paraId="2DCBECB4" w14:textId="77777777" w:rsidR="00305695" w:rsidRDefault="009163A3">
      <w:pPr>
        <w:spacing w:before="360" w:after="200"/>
      </w:pPr>
      <w:r>
        <w:rPr>
          <w:rFonts w:ascii="Calibri" w:eastAsia="Calibri" w:hAnsi="Calibri" w:cs="Calibri"/>
          <w:b/>
          <w:bCs/>
          <w:color w:val="1F3864"/>
          <w:sz w:val="32"/>
          <w:szCs w:val="32"/>
        </w:rPr>
        <w:t>Section VI — The Nordic Counterargument: An Honest Treatment</w:t>
      </w:r>
    </w:p>
    <w:p w14:paraId="03447E26" w14:textId="77777777" w:rsidR="00305695" w:rsidRDefault="009163A3">
      <w:pPr>
        <w:jc w:val="both"/>
      </w:pPr>
      <w:r>
        <w:t>DSA supporters correctly point to Denmark, Sweden, Norway, and Finland as evidence that heavily taxed, heavily regulated mixed economies can achieve high living standards without the crises described above.</w:t>
      </w:r>
    </w:p>
    <w:p w14:paraId="75A83997" w14:textId="77777777" w:rsidR="00305695" w:rsidRDefault="009163A3">
      <w:pPr>
        <w:jc w:val="both"/>
      </w:pPr>
      <w:r>
        <w:t>This is true. The Nordic model works. But it is not what DSA is proposing.</w:t>
      </w:r>
    </w:p>
    <w:p w14:paraId="51B64221" w14:textId="77777777" w:rsidR="00305695" w:rsidRDefault="009163A3">
      <w:pPr>
        <w:spacing w:before="240" w:after="120"/>
      </w:pPr>
      <w:r>
        <w:rPr>
          <w:rFonts w:ascii="Calibri" w:eastAsia="Calibri" w:hAnsi="Calibri" w:cs="Calibri"/>
          <w:b/>
          <w:bCs/>
          <w:color w:val="1F3864"/>
          <w:sz w:val="26"/>
          <w:szCs w:val="26"/>
        </w:rPr>
        <w:t>The Critical Differences</w:t>
      </w:r>
    </w:p>
    <w:p w14:paraId="5813C886" w14:textId="140A343E" w:rsidR="00305695" w:rsidRDefault="009163A3" w:rsidP="00B22D17">
      <w:pPr>
        <w:pStyle w:val="ListParagraph"/>
        <w:numPr>
          <w:ilvl w:val="0"/>
          <w:numId w:val="9"/>
        </w:numPr>
        <w:spacing w:after="100" w:line="280" w:lineRule="auto"/>
      </w:pPr>
      <w:r w:rsidRPr="00B22D17">
        <w:rPr>
          <w:b/>
          <w:bCs/>
        </w:rPr>
        <w:t>The Nordic countries did not abolish capitalism.</w:t>
      </w:r>
      <w:r>
        <w:t xml:space="preserve"> They tax it heavily and regulate it extensively, but ownership remains private. Denmark's economy is more market-oriented in some dimensions (labor market flexibility, no minimum wage law) than the United States.</w:t>
      </w:r>
    </w:p>
    <w:p w14:paraId="0A00A309" w14:textId="77777777" w:rsidR="00305695" w:rsidRDefault="009163A3" w:rsidP="00B22D17">
      <w:pPr>
        <w:pStyle w:val="ListParagraph"/>
        <w:numPr>
          <w:ilvl w:val="0"/>
          <w:numId w:val="9"/>
        </w:numPr>
        <w:spacing w:after="100" w:line="280" w:lineRule="auto"/>
      </w:pPr>
      <w:r>
        <w:rPr>
          <w:b/>
          <w:bCs/>
        </w:rPr>
        <w:t>N</w:t>
      </w:r>
      <w:r>
        <w:rPr>
          <w:b/>
          <w:bCs/>
        </w:rPr>
        <w:t>ordic “socialism” is built on capitalist foundations.</w:t>
      </w:r>
      <w:r>
        <w:t xml:space="preserve"> Norway's sovereign wealth fund — $1.7 trillion, the world's largest — is invested in private global equities. The fund that pays for Norway's social programs IS the capitalist system.</w:t>
      </w:r>
    </w:p>
    <w:p w14:paraId="557B4864" w14:textId="77777777" w:rsidR="00305695" w:rsidRDefault="009163A3" w:rsidP="00B22D17">
      <w:pPr>
        <w:pStyle w:val="ListParagraph"/>
        <w:numPr>
          <w:ilvl w:val="0"/>
          <w:numId w:val="9"/>
        </w:numPr>
        <w:spacing w:after="100" w:line="280" w:lineRule="auto"/>
      </w:pPr>
      <w:r>
        <w:rPr>
          <w:b/>
          <w:bCs/>
        </w:rPr>
        <w:t>DSA's platform explicitly rejects the Nordic model</w:t>
      </w:r>
      <w:r>
        <w:t xml:space="preserve"> as insufficient — “managed capitalism,” not socialism. DSA's 2021 convention platform calls for “abolition of capitalism,” not Nordic-style regulation of capitalism.</w:t>
      </w:r>
    </w:p>
    <w:p w14:paraId="7595000A" w14:textId="77777777" w:rsidR="00305695" w:rsidRDefault="009163A3" w:rsidP="00B22D17">
      <w:pPr>
        <w:pStyle w:val="ListParagraph"/>
        <w:numPr>
          <w:ilvl w:val="0"/>
          <w:numId w:val="9"/>
        </w:numPr>
        <w:spacing w:after="100" w:line="280" w:lineRule="auto"/>
      </w:pPr>
      <w:r>
        <w:rPr>
          <w:b/>
          <w:bCs/>
        </w:rPr>
        <w:t>Cultural and institutional context matters.</w:t>
      </w:r>
      <w:r>
        <w:t xml:space="preserve"> Nordic countries have high social trust, homogeneous historical populations, small size, and a tradition of labor-capital cooperation (corporatism) that predates the welfare state. The United States has none of these preconditions at scale.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91"/>
      </w:tblGrid>
      <w:tr w:rsidR="00305695" w14:paraId="5C8F7F74" w14:textId="77777777">
        <w:tblPrEx>
          <w:tblCellMar>
            <w:top w:w="0" w:type="dxa"/>
            <w:bottom w:w="0" w:type="dxa"/>
          </w:tblCellMar>
        </w:tblPrEx>
        <w:tc>
          <w:tcPr>
            <w:tcW w:w="5000" w:type="pct"/>
            <w:tcBorders>
              <w:top w:val="single" w:sz="4" w:space="0" w:color="375623"/>
              <w:left w:val="single" w:sz="24" w:space="0" w:color="375623"/>
              <w:bottom w:val="single" w:sz="4" w:space="0" w:color="375623"/>
              <w:right w:val="single" w:sz="4" w:space="0" w:color="375623"/>
            </w:tcBorders>
            <w:shd w:val="clear" w:color="auto" w:fill="E2EFDA"/>
            <w:tcMar>
              <w:top w:w="200" w:type="dxa"/>
              <w:left w:w="240" w:type="dxa"/>
              <w:bottom w:w="200" w:type="dxa"/>
              <w:right w:w="240" w:type="dxa"/>
            </w:tcMar>
          </w:tcPr>
          <w:p w14:paraId="702F660F" w14:textId="77777777" w:rsidR="00305695" w:rsidRDefault="009163A3">
            <w:pPr>
              <w:spacing w:after="100"/>
            </w:pPr>
            <w:r>
              <w:rPr>
                <w:rFonts w:ascii="Calibri" w:eastAsia="Calibri" w:hAnsi="Calibri" w:cs="Calibri"/>
                <w:b/>
                <w:bCs/>
                <w:color w:val="1F3864"/>
              </w:rPr>
              <w:t>The Nordic Argument, Fairly Stated</w:t>
            </w:r>
          </w:p>
          <w:p w14:paraId="656B32FA" w14:textId="77777777" w:rsidR="00305695" w:rsidRDefault="009163A3">
            <w:pPr>
              <w:spacing w:after="60" w:line="280" w:lineRule="auto"/>
              <w:jc w:val="both"/>
            </w:pPr>
            <w:r>
              <w:rPr>
                <w:i/>
                <w:iCs/>
                <w:sz w:val="22"/>
                <w:szCs w:val="22"/>
              </w:rPr>
              <w:t xml:space="preserve">If DSA were proposing what Denmark </w:t>
            </w:r>
            <w:proofErr w:type="gramStart"/>
            <w:r>
              <w:rPr>
                <w:i/>
                <w:iCs/>
                <w:sz w:val="22"/>
                <w:szCs w:val="22"/>
              </w:rPr>
              <w:t>actually does</w:t>
            </w:r>
            <w:proofErr w:type="gramEnd"/>
            <w:r>
              <w:rPr>
                <w:i/>
                <w:iCs/>
                <w:sz w:val="22"/>
                <w:szCs w:val="22"/>
              </w:rPr>
              <w:t xml:space="preserve"> -- heavy progressive taxation, robust social insurance, strong labor protections, but private ownership of productive assets -- the economic critique in this paper would not apply. A high-tax capitalist economy is not the same thing as a socialist economy. The problem is that DSA does not propose what Denmark does. It proposes to “abolish capitalism.” Those are not the same </w:t>
            </w:r>
            <w:proofErr w:type="gramStart"/>
            <w:r>
              <w:rPr>
                <w:i/>
                <w:iCs/>
                <w:sz w:val="22"/>
                <w:szCs w:val="22"/>
              </w:rPr>
              <w:t>program, and</w:t>
            </w:r>
            <w:proofErr w:type="gramEnd"/>
            <w:r>
              <w:rPr>
                <w:i/>
                <w:iCs/>
                <w:sz w:val="22"/>
                <w:szCs w:val="22"/>
              </w:rPr>
              <w:t xml:space="preserve"> conflating them is one of the most persistent </w:t>
            </w:r>
            <w:proofErr w:type="spellStart"/>
            <w:r>
              <w:rPr>
                <w:i/>
                <w:iCs/>
                <w:sz w:val="22"/>
                <w:szCs w:val="22"/>
              </w:rPr>
              <w:t>misdirections</w:t>
            </w:r>
            <w:proofErr w:type="spellEnd"/>
            <w:r>
              <w:rPr>
                <w:i/>
                <w:iCs/>
                <w:sz w:val="22"/>
                <w:szCs w:val="22"/>
              </w:rPr>
              <w:t xml:space="preserve"> in the debate.</w:t>
            </w:r>
          </w:p>
        </w:tc>
      </w:tr>
    </w:tbl>
    <w:p w14:paraId="08196ECB" w14:textId="77777777" w:rsidR="00305695" w:rsidRDefault="00305695">
      <w:pPr>
        <w:spacing w:after="200"/>
      </w:pPr>
    </w:p>
    <w:p w14:paraId="52BC1991" w14:textId="77777777" w:rsidR="00305695" w:rsidRDefault="009163A3">
      <w:pPr>
        <w:spacing w:before="360" w:after="200"/>
      </w:pPr>
      <w:r>
        <w:rPr>
          <w:rFonts w:ascii="Calibri" w:eastAsia="Calibri" w:hAnsi="Calibri" w:cs="Calibri"/>
          <w:b/>
          <w:bCs/>
          <w:color w:val="1F3864"/>
          <w:sz w:val="32"/>
          <w:szCs w:val="32"/>
        </w:rPr>
        <w:lastRenderedPageBreak/>
        <w:t>Section VII — The Disingenuousness Question: Intent vs. Structure</w:t>
      </w:r>
    </w:p>
    <w:p w14:paraId="152DB5E2" w14:textId="77777777" w:rsidR="00305695" w:rsidRDefault="009163A3">
      <w:pPr>
        <w:jc w:val="both"/>
      </w:pPr>
      <w:r>
        <w:t>Are DSA leaders being dishonest? The fair answer requires distinguishing between intent and structure. Two hypotheses bracket the honest reading.</w:t>
      </w:r>
    </w:p>
    <w:p w14:paraId="15A7494A" w14:textId="77777777" w:rsidR="00305695" w:rsidRDefault="009163A3">
      <w:pPr>
        <w:jc w:val="both"/>
      </w:pPr>
      <w:r>
        <w:rPr>
          <w:b/>
          <w:bCs/>
        </w:rPr>
        <w:t xml:space="preserve">H1 — Strategic Ambiguity (the charitable reading): </w:t>
      </w:r>
      <w:r>
        <w:t xml:space="preserve">DSA leaders genuinely believe their incremental program will transform capitalism peacefully. They have not thought through the </w:t>
      </w:r>
      <w:proofErr w:type="gramStart"/>
      <w:r>
        <w:t>endgame</w:t>
      </w:r>
      <w:proofErr w:type="gramEnd"/>
      <w:r>
        <w:t>. Or they have thought through it and believe the transformation will be smooth because democratic legitimacy will smooth the transitions.</w:t>
      </w:r>
    </w:p>
    <w:p w14:paraId="4DB35979" w14:textId="77777777" w:rsidR="00305695" w:rsidRDefault="009163A3">
      <w:pPr>
        <w:jc w:val="both"/>
      </w:pPr>
      <w:r>
        <w:rPr>
          <w:b/>
          <w:bCs/>
        </w:rPr>
        <w:t xml:space="preserve">H2 — The Fabian Strategy (the structural reading): </w:t>
      </w:r>
      <w:r>
        <w:t>DSA's sophisticated leaders — economists, lawyers, academics — know that their program cannot achieve its stated goals through the proposed means. The “inside-outside” debate within DSA reveals this: the “dirty break” faction explicitly anticipates a point at which DSA forces break from the Democratic Party because the existing system has become too destabilized to work within. The destabilization is the mechanism.</w:t>
      </w:r>
    </w:p>
    <w:p w14:paraId="747C5CA2" w14:textId="77777777" w:rsidR="00305695" w:rsidRDefault="009163A3">
      <w:pPr>
        <w:jc w:val="both"/>
      </w:pPr>
      <w:r>
        <w:t>Evidence for H1: Many DSA members genuinely believe in the power of democratic process; the organization's emphasis on electoral strategy suggests faith in institutional change.</w:t>
      </w:r>
    </w:p>
    <w:p w14:paraId="61FA9F59" w14:textId="77777777" w:rsidR="00305695" w:rsidRDefault="009163A3">
      <w:pPr>
        <w:jc w:val="both"/>
      </w:pPr>
      <w:r>
        <w:t>Evidence for H2: DSA's own platform uses “expropriate.” The “dirty break” faction exists and is vocal. Academic socialists like Bhaskar Sunkara (Jacobin founder, DSA-adjacent) have written explicitly about using crisis moments to advance the socialist agenda. The crisis IS the plan — not as a hidden conspiracy, but as an openly stated strategic theory.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91"/>
      </w:tblGrid>
      <w:tr w:rsidR="00305695" w14:paraId="7519458B" w14:textId="77777777">
        <w:tblPrEx>
          <w:tblCellMar>
            <w:top w:w="0" w:type="dxa"/>
            <w:bottom w:w="0" w:type="dxa"/>
          </w:tblCellMar>
        </w:tblPrEx>
        <w:tc>
          <w:tcPr>
            <w:tcW w:w="5000" w:type="pct"/>
            <w:tcBorders>
              <w:top w:val="single" w:sz="4" w:space="0" w:color="1F3864"/>
              <w:left w:val="single" w:sz="24" w:space="0" w:color="1F3864"/>
              <w:bottom w:val="single" w:sz="4" w:space="0" w:color="1F3864"/>
              <w:right w:val="single" w:sz="4" w:space="0" w:color="1F3864"/>
            </w:tcBorders>
            <w:shd w:val="clear" w:color="auto" w:fill="F0F0F0"/>
            <w:tcMar>
              <w:top w:w="200" w:type="dxa"/>
              <w:left w:w="240" w:type="dxa"/>
              <w:bottom w:w="200" w:type="dxa"/>
              <w:right w:w="240" w:type="dxa"/>
            </w:tcMar>
          </w:tcPr>
          <w:p w14:paraId="66BFF3C5" w14:textId="77777777" w:rsidR="00305695" w:rsidRDefault="009163A3">
            <w:pPr>
              <w:spacing w:after="100"/>
            </w:pPr>
            <w:r>
              <w:rPr>
                <w:rFonts w:ascii="Calibri" w:eastAsia="Calibri" w:hAnsi="Calibri" w:cs="Calibri"/>
                <w:b/>
                <w:bCs/>
                <w:color w:val="1F3864"/>
              </w:rPr>
              <w:t>Sunkara's Thesis</w:t>
            </w:r>
          </w:p>
          <w:p w14:paraId="6CF7AF9F" w14:textId="77777777" w:rsidR="00305695" w:rsidRDefault="009163A3">
            <w:pPr>
              <w:spacing w:after="60" w:line="280" w:lineRule="auto"/>
              <w:jc w:val="both"/>
            </w:pPr>
            <w:r>
              <w:rPr>
                <w:i/>
                <w:iCs/>
                <w:sz w:val="22"/>
                <w:szCs w:val="22"/>
              </w:rPr>
              <w:t xml:space="preserve">In “The Socialist Manifesto” (2019), Bhaskar Sunkara -- founder of Jacobin and arguably the DSA's most prominent intellectual -- writes explicitly about using electoral gains to “build dual power” that can survive and exploit a crisis moment. He does not describe a smooth transition. He describes building organizational capacity so that “when the next great crisis of capitalism arrives,” the socialist movement is positioned to offer an alternative. The crisis is not feared -- it is anticipated and prepared </w:t>
            </w:r>
            <w:r>
              <w:rPr>
                <w:i/>
                <w:iCs/>
                <w:sz w:val="22"/>
                <w:szCs w:val="22"/>
              </w:rPr>
              <w:t>for. This is not a conspiracy theory. It is the stated strategy of the DSA's intellectual leadership.</w:t>
            </w:r>
          </w:p>
        </w:tc>
      </w:tr>
    </w:tbl>
    <w:p w14:paraId="658DDD28" w14:textId="77777777" w:rsidR="00305695" w:rsidRDefault="00305695">
      <w:pPr>
        <w:spacing w:after="200"/>
      </w:pPr>
    </w:p>
    <w:p w14:paraId="0E6A2485" w14:textId="77777777" w:rsidR="00305695" w:rsidRDefault="009163A3">
      <w:pPr>
        <w:spacing w:before="360" w:after="200"/>
      </w:pPr>
      <w:r>
        <w:rPr>
          <w:rFonts w:ascii="Calibri" w:eastAsia="Calibri" w:hAnsi="Calibri" w:cs="Calibri"/>
          <w:b/>
          <w:bCs/>
          <w:color w:val="1F3864"/>
          <w:sz w:val="32"/>
          <w:szCs w:val="32"/>
        </w:rPr>
        <w:t xml:space="preserve">Section VIII — The Verdict: Is </w:t>
      </w:r>
      <w:proofErr w:type="gramStart"/>
      <w:r>
        <w:rPr>
          <w:rFonts w:ascii="Calibri" w:eastAsia="Calibri" w:hAnsi="Calibri" w:cs="Calibri"/>
          <w:b/>
          <w:bCs/>
          <w:color w:val="1F3864"/>
          <w:sz w:val="32"/>
          <w:szCs w:val="32"/>
        </w:rPr>
        <w:t>the Fear</w:t>
      </w:r>
      <w:proofErr w:type="gramEnd"/>
      <w:r>
        <w:rPr>
          <w:rFonts w:ascii="Calibri" w:eastAsia="Calibri" w:hAnsi="Calibri" w:cs="Calibri"/>
          <w:b/>
          <w:bCs/>
          <w:color w:val="1F3864"/>
          <w:sz w:val="32"/>
          <w:szCs w:val="32"/>
        </w:rPr>
        <w:t xml:space="preserve"> Founded?</w:t>
      </w:r>
    </w:p>
    <w:p w14:paraId="1907C5C1" w14:textId="77777777" w:rsidR="00305695" w:rsidRDefault="009163A3">
      <w:pPr>
        <w:jc w:val="both"/>
      </w:pPr>
      <w:r>
        <w:t>Be direct. The fear is not unfounded. But it requires precision to be useful.</w:t>
      </w:r>
    </w:p>
    <w:p w14:paraId="5A3A42DF" w14:textId="77777777" w:rsidR="00305695" w:rsidRDefault="009163A3">
      <w:pPr>
        <w:spacing w:before="240" w:after="120"/>
      </w:pPr>
      <w:r>
        <w:rPr>
          <w:rFonts w:ascii="Calibri" w:eastAsia="Calibri" w:hAnsi="Calibri" w:cs="Calibri"/>
          <w:b/>
          <w:bCs/>
          <w:color w:val="1F3864"/>
          <w:sz w:val="26"/>
          <w:szCs w:val="26"/>
        </w:rPr>
        <w:t>What is NOT the risk</w:t>
      </w:r>
    </w:p>
    <w:p w14:paraId="082442FA" w14:textId="3AB34FE1" w:rsidR="00305695" w:rsidRDefault="009163A3" w:rsidP="00B22D17">
      <w:pPr>
        <w:pStyle w:val="ListParagraph"/>
        <w:numPr>
          <w:ilvl w:val="0"/>
          <w:numId w:val="10"/>
        </w:numPr>
        <w:spacing w:after="100" w:line="280" w:lineRule="auto"/>
      </w:pPr>
      <w:r>
        <w:t xml:space="preserve">DSA will not “vote in communism” through normal elections. The U.S. constitutional structure — federalism, the 5th Amendment takings clause, Senate supermajority </w:t>
      </w:r>
      <w:r>
        <w:lastRenderedPageBreak/>
        <w:t>requirements for major legislation, judicial review — creates enormous friction against any rapid socialist transformation.</w:t>
      </w:r>
    </w:p>
    <w:p w14:paraId="722A1BC0" w14:textId="77777777" w:rsidR="00305695" w:rsidRDefault="009163A3" w:rsidP="00B22D17">
      <w:pPr>
        <w:pStyle w:val="ListParagraph"/>
        <w:numPr>
          <w:ilvl w:val="0"/>
          <w:numId w:val="10"/>
        </w:numPr>
        <w:spacing w:after="100" w:line="280" w:lineRule="auto"/>
      </w:pPr>
      <w:r>
        <w:t>D</w:t>
      </w:r>
      <w:r>
        <w:t>SA elected officials in Congress are a small minority and cannot impose their program unilaterally.</w:t>
      </w:r>
    </w:p>
    <w:p w14:paraId="54779806" w14:textId="77777777" w:rsidR="00305695" w:rsidRDefault="009163A3" w:rsidP="00B22D17">
      <w:pPr>
        <w:pStyle w:val="ListParagraph"/>
        <w:numPr>
          <w:ilvl w:val="0"/>
          <w:numId w:val="10"/>
        </w:numPr>
        <w:spacing w:after="100" w:line="280" w:lineRule="auto"/>
      </w:pPr>
      <w:r>
        <w:t>Mamdani's NYC mayoralty is the most significant DSA governance test. NYC is not the United States.</w:t>
      </w:r>
    </w:p>
    <w:p w14:paraId="0B100103" w14:textId="77777777" w:rsidR="00305695" w:rsidRDefault="009163A3">
      <w:pPr>
        <w:spacing w:before="240" w:after="120"/>
      </w:pPr>
      <w:r>
        <w:rPr>
          <w:rFonts w:ascii="Calibri" w:eastAsia="Calibri" w:hAnsi="Calibri" w:cs="Calibri"/>
          <w:b/>
          <w:bCs/>
          <w:color w:val="1F3864"/>
          <w:sz w:val="26"/>
          <w:szCs w:val="26"/>
        </w:rPr>
        <w:t>What IS the risk</w:t>
      </w:r>
    </w:p>
    <w:p w14:paraId="000399F9" w14:textId="5009988F" w:rsidR="00305695" w:rsidRDefault="009163A3" w:rsidP="00B22D17">
      <w:pPr>
        <w:pStyle w:val="ListParagraph"/>
        <w:numPr>
          <w:ilvl w:val="0"/>
          <w:numId w:val="11"/>
        </w:numPr>
        <w:spacing w:after="100" w:line="280" w:lineRule="auto"/>
      </w:pPr>
      <w:r w:rsidRPr="00B22D17">
        <w:rPr>
          <w:b/>
          <w:bCs/>
        </w:rPr>
        <w:t xml:space="preserve">The one-way door problem is real. </w:t>
      </w:r>
      <w:r>
        <w:t>Policies that eliminate private alternatives (single-payer replacing private insurance, rent control destroying developer economics, energy nationalization deterring private investment) create irreversible structural shifts. Once enacted and allowed to take effect, these policies are genuinely difficult to reverse — not because of conspiracy, but because the reversal requires rebuilding industries that have ceased to exist.</w:t>
      </w:r>
    </w:p>
    <w:p w14:paraId="25369CAE" w14:textId="77777777" w:rsidR="00305695" w:rsidRDefault="009163A3" w:rsidP="00B22D17">
      <w:pPr>
        <w:pStyle w:val="ListParagraph"/>
        <w:numPr>
          <w:ilvl w:val="0"/>
          <w:numId w:val="11"/>
        </w:numPr>
        <w:spacing w:after="100" w:line="280" w:lineRule="auto"/>
      </w:pPr>
      <w:r>
        <w:rPr>
          <w:b/>
          <w:bCs/>
        </w:rPr>
        <w:t>T</w:t>
      </w:r>
      <w:r>
        <w:rPr>
          <w:b/>
          <w:bCs/>
        </w:rPr>
        <w:t xml:space="preserve">he incentive destruction is real. </w:t>
      </w:r>
      <w:r>
        <w:t xml:space="preserve">Even partial implementation of the program produces the predicted responses: capital flight, investment retreat, supply shortages in targeted sectors. These are not political attacks on DSA — they are the mechanistic responses of rational economic actors to </w:t>
      </w:r>
      <w:proofErr w:type="gramStart"/>
      <w:r>
        <w:t>changed</w:t>
      </w:r>
      <w:proofErr w:type="gramEnd"/>
      <w:r>
        <w:t xml:space="preserve"> incentives. They are as predictable as water flowing downhill.</w:t>
      </w:r>
    </w:p>
    <w:p w14:paraId="3B259408" w14:textId="77777777" w:rsidR="00305695" w:rsidRDefault="009163A3" w:rsidP="00B22D17">
      <w:pPr>
        <w:pStyle w:val="ListParagraph"/>
        <w:numPr>
          <w:ilvl w:val="0"/>
          <w:numId w:val="11"/>
        </w:numPr>
        <w:spacing w:after="100" w:line="280" w:lineRule="auto"/>
      </w:pPr>
      <w:proofErr w:type="gramStart"/>
      <w:r>
        <w:rPr>
          <w:b/>
          <w:bCs/>
        </w:rPr>
        <w:t>The dependency</w:t>
      </w:r>
      <w:proofErr w:type="gramEnd"/>
      <w:r>
        <w:rPr>
          <w:b/>
          <w:bCs/>
        </w:rPr>
        <w:t xml:space="preserve"> creation is real. </w:t>
      </w:r>
      <w:r>
        <w:t>Every expansion of government provision creates a constituency for its continuation. This is not unique to socialism — Medicare and Social Security face the same dynamic. But DSA's program is designed to expand government provision into sectors (housing, healthcare, energy) where private alternatives currently function reasonably well, creating dependencies in sectors that don't currently have them.</w:t>
      </w:r>
    </w:p>
    <w:p w14:paraId="2BACCFE3" w14:textId="77777777" w:rsidR="00305695" w:rsidRDefault="009163A3" w:rsidP="00B22D17">
      <w:pPr>
        <w:pStyle w:val="ListParagraph"/>
        <w:numPr>
          <w:ilvl w:val="0"/>
          <w:numId w:val="11"/>
        </w:numPr>
        <w:spacing w:after="100" w:line="280" w:lineRule="auto"/>
      </w:pPr>
      <w:r>
        <w:rPr>
          <w:b/>
          <w:bCs/>
        </w:rPr>
        <w:t xml:space="preserve">The “crisis as opportunity” framing is documented. </w:t>
      </w:r>
      <w:r>
        <w:t>DSA's intellectual leadership does not apologize for viewing crises as political opportunities. They see a destabilized capitalism as a moment when socialist alternatives become credible. This means the reform program and the crisis program are not separate — the reforms that produce crisis are the pathway to the deeper transformation.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91"/>
      </w:tblGrid>
      <w:tr w:rsidR="00305695" w14:paraId="17FEB80E" w14:textId="77777777">
        <w:tblPrEx>
          <w:tblCellMar>
            <w:top w:w="0" w:type="dxa"/>
            <w:bottom w:w="0" w:type="dxa"/>
          </w:tblCellMar>
        </w:tblPrEx>
        <w:tc>
          <w:tcPr>
            <w:tcW w:w="5000" w:type="pct"/>
            <w:tcBorders>
              <w:top w:val="single" w:sz="4" w:space="0" w:color="C00000"/>
              <w:left w:val="single" w:sz="24" w:space="0" w:color="C00000"/>
              <w:bottom w:val="single" w:sz="4" w:space="0" w:color="C00000"/>
              <w:right w:val="single" w:sz="4" w:space="0" w:color="C00000"/>
            </w:tcBorders>
            <w:shd w:val="clear" w:color="auto" w:fill="FCE4D6"/>
            <w:tcMar>
              <w:top w:w="200" w:type="dxa"/>
              <w:left w:w="240" w:type="dxa"/>
              <w:bottom w:w="200" w:type="dxa"/>
              <w:right w:w="240" w:type="dxa"/>
            </w:tcMar>
          </w:tcPr>
          <w:p w14:paraId="1FAFF283" w14:textId="77777777" w:rsidR="00305695" w:rsidRDefault="009163A3">
            <w:pPr>
              <w:spacing w:after="100"/>
            </w:pPr>
            <w:r>
              <w:rPr>
                <w:rFonts w:ascii="Calibri" w:eastAsia="Calibri" w:hAnsi="Calibri" w:cs="Calibri"/>
                <w:b/>
                <w:bCs/>
                <w:color w:val="1F3864"/>
              </w:rPr>
              <w:t>The Honest Verdict</w:t>
            </w:r>
          </w:p>
          <w:p w14:paraId="3BF74429" w14:textId="77777777" w:rsidR="00305695" w:rsidRDefault="009163A3">
            <w:pPr>
              <w:spacing w:after="60" w:line="280" w:lineRule="auto"/>
              <w:jc w:val="both"/>
            </w:pPr>
            <w:r>
              <w:rPr>
                <w:i/>
                <w:iCs/>
                <w:sz w:val="22"/>
                <w:szCs w:val="22"/>
              </w:rPr>
              <w:t xml:space="preserve">The question is not whether DSA's program is a secret Communist plot. It is whether DSA's program, implemented on its own terms and through entirely legal means, produces outcomes that require Communist-style government control to manage. The evidence from economic theory and historical precedent says: yes, it does. Not immediately. Not through conspiracy. But through the entirely predictable, well-documented response of economic actors to changed incentives -- withdrawal, underinvestment, shortage, crisis </w:t>
            </w:r>
            <w:r>
              <w:rPr>
                <w:i/>
                <w:iCs/>
                <w:sz w:val="22"/>
                <w:szCs w:val="22"/>
              </w:rPr>
              <w:t xml:space="preserve">-- followed by the entirely predictable political response to crisis: more government. </w:t>
            </w:r>
            <w:proofErr w:type="gramStart"/>
            <w:r>
              <w:rPr>
                <w:i/>
                <w:iCs/>
                <w:sz w:val="22"/>
                <w:szCs w:val="22"/>
              </w:rPr>
              <w:t>The fear</w:t>
            </w:r>
            <w:proofErr w:type="gramEnd"/>
            <w:r>
              <w:rPr>
                <w:i/>
                <w:iCs/>
                <w:sz w:val="22"/>
                <w:szCs w:val="22"/>
              </w:rPr>
              <w:t xml:space="preserve"> is not paranoia. It is pattern recognition.</w:t>
            </w:r>
          </w:p>
        </w:tc>
      </w:tr>
    </w:tbl>
    <w:p w14:paraId="21E7BECA" w14:textId="77777777" w:rsidR="00305695" w:rsidRDefault="00305695">
      <w:pPr>
        <w:spacing w:after="200"/>
      </w:pPr>
    </w:p>
    <w:p w14:paraId="528F0CB8" w14:textId="77777777" w:rsidR="00305695" w:rsidRDefault="009163A3">
      <w:pPr>
        <w:jc w:val="both"/>
      </w:pPr>
      <w:r>
        <w:lastRenderedPageBreak/>
        <w:t xml:space="preserve">The deepest problem with DSA's program is not that it is dishonest, though the ownership obfuscation comes close. The deepest problem is that it may be sincere. Leaders who genuinely believe that taxation and regulation can achieve the “abolition of capitalism” without the economic disruptions described above are not lying to their followers -- they are wrong about economics. And wrong about economics, when you hold the levers of a $27 trillion economy, is a category of </w:t>
      </w:r>
      <w:proofErr w:type="gramStart"/>
      <w:r>
        <w:t>error</w:t>
      </w:r>
      <w:proofErr w:type="gramEnd"/>
      <w:r>
        <w:t xml:space="preserve"> the country cannot easily survive.</w:t>
      </w:r>
    </w:p>
    <w:p w14:paraId="54E7D7AB" w14:textId="77777777" w:rsidR="00305695" w:rsidRDefault="009163A3">
      <w:r>
        <w:br w:type="page"/>
      </w:r>
    </w:p>
    <w:p w14:paraId="5D499961" w14:textId="77777777" w:rsidR="00305695" w:rsidRDefault="009163A3">
      <w:pPr>
        <w:spacing w:before="360" w:after="200"/>
      </w:pPr>
      <w:r>
        <w:rPr>
          <w:rFonts w:ascii="Calibri" w:eastAsia="Calibri" w:hAnsi="Calibri" w:cs="Calibri"/>
          <w:b/>
          <w:bCs/>
          <w:color w:val="1F3864"/>
          <w:sz w:val="32"/>
          <w:szCs w:val="32"/>
        </w:rPr>
        <w:lastRenderedPageBreak/>
        <w:t>Appendix A — References</w:t>
      </w:r>
    </w:p>
    <w:p w14:paraId="6B8E0B68" w14:textId="77777777" w:rsidR="00305695" w:rsidRDefault="009163A3">
      <w:pPr>
        <w:jc w:val="both"/>
      </w:pPr>
      <w:r>
        <w:t>References follow APA 7th edition format.</w:t>
      </w:r>
    </w:p>
    <w:p w14:paraId="43588792" w14:textId="77777777" w:rsidR="00305695" w:rsidRDefault="009163A3">
      <w:pPr>
        <w:spacing w:line="280" w:lineRule="auto"/>
        <w:ind w:left="720" w:hanging="720"/>
      </w:pPr>
      <w:r>
        <w:rPr>
          <w:sz w:val="22"/>
          <w:szCs w:val="22"/>
        </w:rPr>
        <w:t>Sunkara, B. (2019). The socialist manifesto: The case for radical politics in an era of extreme inequality. Basic Books.</w:t>
      </w:r>
    </w:p>
    <w:p w14:paraId="3655D05E" w14:textId="77777777" w:rsidR="00305695" w:rsidRDefault="009163A3">
      <w:pPr>
        <w:spacing w:line="280" w:lineRule="auto"/>
        <w:ind w:left="720" w:hanging="720"/>
      </w:pPr>
      <w:r>
        <w:rPr>
          <w:sz w:val="22"/>
          <w:szCs w:val="22"/>
        </w:rPr>
        <w:t>Federal Reserve. (2024). Financial accounts of the United States: Flow of funds (Q4 2024). Board of Governors of the Federal Reserve System. https://www.federalreserve.gov/releases/z1/</w:t>
      </w:r>
    </w:p>
    <w:p w14:paraId="1527884F" w14:textId="77777777" w:rsidR="00305695" w:rsidRDefault="009163A3">
      <w:pPr>
        <w:spacing w:line="280" w:lineRule="auto"/>
        <w:ind w:left="720" w:hanging="720"/>
      </w:pPr>
      <w:r>
        <w:rPr>
          <w:sz w:val="22"/>
          <w:szCs w:val="22"/>
        </w:rPr>
        <w:t>Hayek, F. A. (1944). The road to serfdom. University of Chicago Press.</w:t>
      </w:r>
    </w:p>
    <w:p w14:paraId="28A4F03B" w14:textId="77777777" w:rsidR="00305695" w:rsidRDefault="009163A3">
      <w:pPr>
        <w:spacing w:line="280" w:lineRule="auto"/>
        <w:ind w:left="720" w:hanging="720"/>
      </w:pPr>
      <w:r>
        <w:rPr>
          <w:sz w:val="22"/>
          <w:szCs w:val="22"/>
        </w:rPr>
        <w:t>Friedman, M. (1962). Capitalism and freedom. University of Chicago Press.</w:t>
      </w:r>
    </w:p>
    <w:p w14:paraId="5AA0BD61" w14:textId="77777777" w:rsidR="00305695" w:rsidRDefault="009163A3">
      <w:pPr>
        <w:spacing w:line="280" w:lineRule="auto"/>
        <w:ind w:left="720" w:hanging="720"/>
      </w:pPr>
      <w:r>
        <w:rPr>
          <w:sz w:val="22"/>
          <w:szCs w:val="22"/>
        </w:rPr>
        <w:t>Democratic Socialists of America. (2024). DSA platform: Workers deserve more. https://platform.dsausa.org/program/</w:t>
      </w:r>
    </w:p>
    <w:p w14:paraId="638E2A0C" w14:textId="77777777" w:rsidR="00305695" w:rsidRDefault="009163A3">
      <w:pPr>
        <w:spacing w:line="280" w:lineRule="auto"/>
        <w:ind w:left="720" w:hanging="720"/>
      </w:pPr>
      <w:r>
        <w:rPr>
          <w:sz w:val="22"/>
          <w:szCs w:val="22"/>
        </w:rPr>
        <w:t>Democratic Socialists of America. (2021). National convention resolutions: Foreign policy. dsausa.org.</w:t>
      </w:r>
    </w:p>
    <w:p w14:paraId="5FEFF935" w14:textId="77777777" w:rsidR="00305695" w:rsidRDefault="009163A3">
      <w:pPr>
        <w:spacing w:line="280" w:lineRule="auto"/>
        <w:ind w:left="720" w:hanging="720"/>
      </w:pPr>
      <w:r>
        <w:rPr>
          <w:sz w:val="22"/>
          <w:szCs w:val="22"/>
        </w:rPr>
        <w:t>Diamond, J. (2014, December 19). France abandons 75% supertax. Reuters. https://www.reuters.com/article/us-france-tax-supertax-idUSKBN0JX1M320141219</w:t>
      </w:r>
    </w:p>
    <w:p w14:paraId="143840D8" w14:textId="77777777" w:rsidR="00305695" w:rsidRDefault="009163A3">
      <w:pPr>
        <w:spacing w:line="280" w:lineRule="auto"/>
        <w:ind w:left="720" w:hanging="720"/>
      </w:pPr>
      <w:r>
        <w:rPr>
          <w:sz w:val="22"/>
          <w:szCs w:val="22"/>
        </w:rPr>
        <w:t>The Economist. (2014, January 4). France's supertax: Surrendering. The Economist.</w:t>
      </w:r>
    </w:p>
    <w:p w14:paraId="4D1C6919" w14:textId="77777777" w:rsidR="00305695" w:rsidRDefault="009163A3">
      <w:pPr>
        <w:spacing w:line="280" w:lineRule="auto"/>
        <w:ind w:left="720" w:hanging="720"/>
      </w:pPr>
      <w:r>
        <w:rPr>
          <w:sz w:val="22"/>
          <w:szCs w:val="22"/>
        </w:rPr>
        <w:t>Mises, L. von. (1920). Economic calculation in the socialist commonwealth. In F. A. Hayek (Ed.), Collectivist economic planning (pp. 87–130). Routledge. (Original work published 1920)</w:t>
      </w:r>
    </w:p>
    <w:p w14:paraId="55F8BAA0" w14:textId="77777777" w:rsidR="00305695" w:rsidRDefault="009163A3">
      <w:pPr>
        <w:spacing w:line="280" w:lineRule="auto"/>
        <w:ind w:left="720" w:hanging="720"/>
      </w:pPr>
      <w:r>
        <w:rPr>
          <w:sz w:val="22"/>
          <w:szCs w:val="22"/>
        </w:rPr>
        <w:t>Norberg, J. (2003). In defense of global capitalism. Cato Institute Press.</w:t>
      </w:r>
    </w:p>
    <w:p w14:paraId="421C5E19" w14:textId="77777777" w:rsidR="00305695" w:rsidRDefault="009163A3">
      <w:pPr>
        <w:spacing w:line="280" w:lineRule="auto"/>
        <w:ind w:left="720" w:hanging="720"/>
      </w:pPr>
      <w:r>
        <w:rPr>
          <w:sz w:val="22"/>
          <w:szCs w:val="22"/>
        </w:rPr>
        <w:t xml:space="preserve">Guriev, S., &amp; </w:t>
      </w:r>
      <w:proofErr w:type="spellStart"/>
      <w:r>
        <w:rPr>
          <w:sz w:val="22"/>
          <w:szCs w:val="22"/>
        </w:rPr>
        <w:t>Rachinsky</w:t>
      </w:r>
      <w:proofErr w:type="spellEnd"/>
      <w:r>
        <w:rPr>
          <w:sz w:val="22"/>
          <w:szCs w:val="22"/>
        </w:rPr>
        <w:t>, A. (2005). The role of oligarchs in Russian capitalism. Journal of Economic Perspectives, 19(1), 131–150. https://doi.org/10.1257/0895330053147994</w:t>
      </w:r>
    </w:p>
    <w:p w14:paraId="5552B3FB" w14:textId="77777777" w:rsidR="00305695" w:rsidRDefault="009163A3">
      <w:pPr>
        <w:spacing w:line="280" w:lineRule="auto"/>
        <w:ind w:left="720" w:hanging="720"/>
      </w:pPr>
      <w:r>
        <w:rPr>
          <w:sz w:val="22"/>
          <w:szCs w:val="22"/>
        </w:rPr>
        <w:t>Weyland, K. (2009). The rise of Latin America's two lefts: Insights from rentier state theory. Comparative Politics, 41(2), 145–164.</w:t>
      </w:r>
    </w:p>
    <w:p w14:paraId="60CF8849" w14:textId="77777777" w:rsidR="00305695" w:rsidRDefault="009163A3">
      <w:pPr>
        <w:spacing w:line="280" w:lineRule="auto"/>
        <w:ind w:left="720" w:hanging="720"/>
      </w:pPr>
      <w:r>
        <w:rPr>
          <w:sz w:val="22"/>
          <w:szCs w:val="22"/>
        </w:rPr>
        <w:t>Goodman, J. B., &amp; Pauly, L. W. (1993). The obsolescence of capital controls? Economic management in an age of global markets. World Politics, 46(1), 50–82.</w:t>
      </w:r>
    </w:p>
    <w:p w14:paraId="14AC4C23" w14:textId="77777777" w:rsidR="00305695" w:rsidRDefault="009163A3">
      <w:pPr>
        <w:spacing w:line="280" w:lineRule="auto"/>
        <w:ind w:left="720" w:hanging="720"/>
      </w:pPr>
      <w:r>
        <w:rPr>
          <w:sz w:val="22"/>
          <w:szCs w:val="22"/>
        </w:rPr>
        <w:t>Piketty, T. (2014). Capital in the twenty-first century (A. Goldhammer, Trans.). Harvard University Press.</w:t>
      </w:r>
    </w:p>
    <w:p w14:paraId="30F1989B" w14:textId="77777777" w:rsidR="00305695" w:rsidRDefault="009163A3">
      <w:pPr>
        <w:spacing w:line="280" w:lineRule="auto"/>
        <w:ind w:left="720" w:hanging="720"/>
      </w:pPr>
      <w:r>
        <w:rPr>
          <w:sz w:val="22"/>
          <w:szCs w:val="22"/>
        </w:rPr>
        <w:t>Ostrom, E. (1990). Governing the commons: The evolution of institutions for collective action. Cambridge University Press.</w:t>
      </w:r>
    </w:p>
    <w:p w14:paraId="3F784D7F" w14:textId="77777777" w:rsidR="00305695" w:rsidRDefault="009163A3">
      <w:pPr>
        <w:spacing w:line="280" w:lineRule="auto"/>
        <w:ind w:left="720" w:hanging="720"/>
      </w:pPr>
      <w:r>
        <w:rPr>
          <w:sz w:val="22"/>
          <w:szCs w:val="22"/>
        </w:rPr>
        <w:t>Investment Company Institute. (2024). 2024 investment company fact book. ICI. https://www.icifactbook.org/</w:t>
      </w:r>
    </w:p>
    <w:p w14:paraId="0541DD27" w14:textId="77777777" w:rsidR="00305695" w:rsidRDefault="009163A3">
      <w:pPr>
        <w:spacing w:line="280" w:lineRule="auto"/>
        <w:ind w:left="720" w:hanging="720"/>
      </w:pPr>
      <w:r>
        <w:rPr>
          <w:sz w:val="22"/>
          <w:szCs w:val="22"/>
        </w:rPr>
        <w:t>National Association of Realtors. (2024). Home equity data and statistics. NAR. https://www.nar.realtor/research-and-statistics</w:t>
      </w:r>
    </w:p>
    <w:p w14:paraId="4ACDD6BE" w14:textId="77777777" w:rsidR="00305695" w:rsidRDefault="009163A3">
      <w:pPr>
        <w:spacing w:line="280" w:lineRule="auto"/>
        <w:ind w:left="720" w:hanging="720"/>
      </w:pPr>
      <w:r>
        <w:rPr>
          <w:sz w:val="22"/>
          <w:szCs w:val="22"/>
        </w:rPr>
        <w:t>Kristiansen, E. G. (2017). The Nordic model. Oxford Research Encyclopedia of Economics and Finance. https://doi.org/10.1093/acrefore/9780190625979.013.231</w:t>
      </w:r>
    </w:p>
    <w:p w14:paraId="55B40BFE" w14:textId="77777777" w:rsidR="00305695" w:rsidRDefault="009163A3">
      <w:pPr>
        <w:spacing w:line="280" w:lineRule="auto"/>
        <w:ind w:left="720" w:hanging="720"/>
      </w:pPr>
      <w:r>
        <w:rPr>
          <w:sz w:val="22"/>
          <w:szCs w:val="22"/>
        </w:rPr>
        <w:t>Coase, R. H. (1960). The problem of social cost. Journal of Law and Economics, 3, 1–44.</w:t>
      </w:r>
    </w:p>
    <w:p w14:paraId="773CE85C" w14:textId="77777777" w:rsidR="00305695" w:rsidRDefault="009163A3">
      <w:pPr>
        <w:spacing w:line="280" w:lineRule="auto"/>
        <w:ind w:left="720" w:hanging="720"/>
      </w:pPr>
      <w:r>
        <w:rPr>
          <w:sz w:val="22"/>
          <w:szCs w:val="22"/>
        </w:rPr>
        <w:lastRenderedPageBreak/>
        <w:t xml:space="preserve">5th Amendment, U.S. Constitution (Takings Clause). (1791). U.S. Const. </w:t>
      </w:r>
      <w:proofErr w:type="gramStart"/>
      <w:r>
        <w:rPr>
          <w:sz w:val="22"/>
          <w:szCs w:val="22"/>
        </w:rPr>
        <w:t>amend</w:t>
      </w:r>
      <w:proofErr w:type="gramEnd"/>
      <w:r>
        <w:rPr>
          <w:sz w:val="22"/>
          <w:szCs w:val="22"/>
        </w:rPr>
        <w:t>. V.</w:t>
      </w:r>
    </w:p>
    <w:sectPr w:rsidR="0030569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22B6F"/>
    <w:multiLevelType w:val="hybridMultilevel"/>
    <w:tmpl w:val="1D080156"/>
    <w:lvl w:ilvl="0" w:tplc="9C282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4426A3"/>
    <w:multiLevelType w:val="hybridMultilevel"/>
    <w:tmpl w:val="2B46A92C"/>
    <w:lvl w:ilvl="0" w:tplc="64BCD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B71837"/>
    <w:multiLevelType w:val="hybridMultilevel"/>
    <w:tmpl w:val="A1745152"/>
    <w:lvl w:ilvl="0" w:tplc="5A107F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A93B4D"/>
    <w:multiLevelType w:val="hybridMultilevel"/>
    <w:tmpl w:val="1A2EA618"/>
    <w:lvl w:ilvl="0" w:tplc="D654F4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6B6282"/>
    <w:multiLevelType w:val="hybridMultilevel"/>
    <w:tmpl w:val="AF107896"/>
    <w:lvl w:ilvl="0" w:tplc="D4B4B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527CE0"/>
    <w:multiLevelType w:val="hybridMultilevel"/>
    <w:tmpl w:val="DABE6B32"/>
    <w:lvl w:ilvl="0" w:tplc="15AA93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1733FB"/>
    <w:multiLevelType w:val="hybridMultilevel"/>
    <w:tmpl w:val="31E6B38E"/>
    <w:lvl w:ilvl="0" w:tplc="F902839E">
      <w:start w:val="1"/>
      <w:numFmt w:val="decimal"/>
      <w:lvlText w:val="%1"/>
      <w:lvlJc w:val="left"/>
      <w:pPr>
        <w:ind w:left="720" w:hanging="360"/>
      </w:pPr>
      <w:rPr>
        <w:rFonts w:ascii="Times New Roman" w:eastAsia="Times New Roman" w:hAnsi="Times New Roman" w:cs="Times New Roman"/>
      </w:rPr>
    </w:lvl>
    <w:lvl w:ilvl="1" w:tplc="2CB6976C">
      <w:start w:val="1"/>
      <w:numFmt w:val="bullet"/>
      <w:lvlText w:val="○"/>
      <w:lvlJc w:val="left"/>
      <w:pPr>
        <w:ind w:left="1440" w:hanging="360"/>
      </w:pPr>
    </w:lvl>
    <w:lvl w:ilvl="2" w:tplc="90A20ACE">
      <w:start w:val="1"/>
      <w:numFmt w:val="bullet"/>
      <w:lvlText w:val="■"/>
      <w:lvlJc w:val="left"/>
      <w:pPr>
        <w:ind w:left="2160" w:hanging="360"/>
      </w:pPr>
    </w:lvl>
    <w:lvl w:ilvl="3" w:tplc="C5A25702">
      <w:start w:val="1"/>
      <w:numFmt w:val="bullet"/>
      <w:lvlText w:val="●"/>
      <w:lvlJc w:val="left"/>
      <w:pPr>
        <w:ind w:left="2880" w:hanging="360"/>
      </w:pPr>
    </w:lvl>
    <w:lvl w:ilvl="4" w:tplc="60BEB1AC">
      <w:start w:val="1"/>
      <w:numFmt w:val="bullet"/>
      <w:lvlText w:val="○"/>
      <w:lvlJc w:val="left"/>
      <w:pPr>
        <w:ind w:left="3600" w:hanging="360"/>
      </w:pPr>
    </w:lvl>
    <w:lvl w:ilvl="5" w:tplc="915E6DFE">
      <w:start w:val="1"/>
      <w:numFmt w:val="bullet"/>
      <w:lvlText w:val="■"/>
      <w:lvlJc w:val="left"/>
      <w:pPr>
        <w:ind w:left="4320" w:hanging="360"/>
      </w:pPr>
    </w:lvl>
    <w:lvl w:ilvl="6" w:tplc="08EE027C">
      <w:start w:val="1"/>
      <w:numFmt w:val="bullet"/>
      <w:lvlText w:val="●"/>
      <w:lvlJc w:val="left"/>
      <w:pPr>
        <w:ind w:left="5040" w:hanging="360"/>
      </w:pPr>
    </w:lvl>
    <w:lvl w:ilvl="7" w:tplc="AACAB920">
      <w:start w:val="1"/>
      <w:numFmt w:val="bullet"/>
      <w:lvlText w:val="●"/>
      <w:lvlJc w:val="left"/>
      <w:pPr>
        <w:ind w:left="5760" w:hanging="360"/>
      </w:pPr>
    </w:lvl>
    <w:lvl w:ilvl="8" w:tplc="A8B84CF2">
      <w:start w:val="1"/>
      <w:numFmt w:val="bullet"/>
      <w:lvlText w:val="●"/>
      <w:lvlJc w:val="left"/>
      <w:pPr>
        <w:ind w:left="6480" w:hanging="360"/>
      </w:pPr>
    </w:lvl>
  </w:abstractNum>
  <w:abstractNum w:abstractNumId="7" w15:restartNumberingAfterBreak="0">
    <w:nsid w:val="71785A56"/>
    <w:multiLevelType w:val="hybridMultilevel"/>
    <w:tmpl w:val="3DAEA22C"/>
    <w:lvl w:ilvl="0" w:tplc="77B86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F847BA"/>
    <w:multiLevelType w:val="hybridMultilevel"/>
    <w:tmpl w:val="D2021500"/>
    <w:lvl w:ilvl="0" w:tplc="62BA0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FE0FDA"/>
    <w:multiLevelType w:val="hybridMultilevel"/>
    <w:tmpl w:val="C2DE783E"/>
    <w:lvl w:ilvl="0" w:tplc="CF64D6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223BAB"/>
    <w:multiLevelType w:val="hybridMultilevel"/>
    <w:tmpl w:val="7DA47182"/>
    <w:lvl w:ilvl="0" w:tplc="7E6EA2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421858">
    <w:abstractNumId w:val="6"/>
    <w:lvlOverride w:ilvl="0">
      <w:startOverride w:val="1"/>
    </w:lvlOverride>
  </w:num>
  <w:num w:numId="2" w16cid:durableId="356855298">
    <w:abstractNumId w:val="1"/>
  </w:num>
  <w:num w:numId="3" w16cid:durableId="1893733791">
    <w:abstractNumId w:val="8"/>
  </w:num>
  <w:num w:numId="4" w16cid:durableId="1471167229">
    <w:abstractNumId w:val="10"/>
  </w:num>
  <w:num w:numId="5" w16cid:durableId="1271157291">
    <w:abstractNumId w:val="5"/>
  </w:num>
  <w:num w:numId="6" w16cid:durableId="647130712">
    <w:abstractNumId w:val="3"/>
  </w:num>
  <w:num w:numId="7" w16cid:durableId="666637721">
    <w:abstractNumId w:val="0"/>
  </w:num>
  <w:num w:numId="8" w16cid:durableId="756441420">
    <w:abstractNumId w:val="4"/>
  </w:num>
  <w:num w:numId="9" w16cid:durableId="1122771268">
    <w:abstractNumId w:val="9"/>
  </w:num>
  <w:num w:numId="10" w16cid:durableId="559680597">
    <w:abstractNumId w:val="7"/>
  </w:num>
  <w:num w:numId="11" w16cid:durableId="1616057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695"/>
    <w:rsid w:val="00197E7B"/>
    <w:rsid w:val="00305695"/>
    <w:rsid w:val="009163A3"/>
    <w:rsid w:val="00B22D17"/>
    <w:rsid w:val="00E73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B2ABD"/>
  <w15:docId w15:val="{7BC3DD30-7FA2-46D8-A3DA-59BD63DF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13</Pages>
  <Words>3361</Words>
  <Characters>19968</Characters>
  <Application>Microsoft Office Word</Application>
  <DocSecurity>0</DocSecurity>
  <Lines>363</Lines>
  <Paragraphs>176</Paragraphs>
  <ScaleCrop>false</ScaleCrop>
  <HeadingPairs>
    <vt:vector size="2" baseType="variant">
      <vt:variant>
        <vt:lpstr>Title</vt:lpstr>
      </vt:variant>
      <vt:variant>
        <vt:i4>1</vt:i4>
      </vt:variant>
    </vt:vector>
  </HeadingPairs>
  <TitlesOfParts>
    <vt:vector size="1" baseType="lpstr">
      <vt:lpstr>The Economic Trap: An Honest Analysis of What DSA's Transformation Agenda Actually Requires</vt:lpstr>
    </vt:vector>
  </TitlesOfParts>
  <Company/>
  <LinksUpToDate>false</LinksUpToDate>
  <CharactersWithSpaces>23153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Economic Trap: An Honest Analysis of What DSA's Transformation Agenda Actually Requires</dc:title>
  <dc:creator>Forge</dc:creator>
  <dc:description>Companion analysis to Paper Seven — The Democratic Socialists of America</dc:description>
  <cp:lastModifiedBy>Dave Maphis</cp:lastModifiedBy>
  <cp:revision>2</cp:revision>
  <dcterms:created xsi:type="dcterms:W3CDTF">2026-06-27T17:18:00Z</dcterms:created>
  <dcterms:modified xsi:type="dcterms:W3CDTF">2026-06-27T17:33:00Z</dcterms:modified>
</cp:coreProperties>
</file>